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32"/>
          <w:szCs w:val="32"/>
        </w:rPr>
      </w:pPr>
      <w:r>
        <w:rPr>
          <w:rFonts w:hint="eastAsia"/>
          <w:b/>
          <w:color w:val="auto"/>
          <w:sz w:val="32"/>
          <w:szCs w:val="32"/>
        </w:rPr>
        <w:t>山东寿光巨能特钢有限公司高品质特钢精整生产线项目</w:t>
      </w:r>
    </w:p>
    <w:p>
      <w:pPr>
        <w:spacing w:line="360" w:lineRule="auto"/>
        <w:jc w:val="center"/>
        <w:rPr>
          <w:rFonts w:cstheme="majorEastAsia"/>
          <w:color w:val="auto"/>
          <w:sz w:val="32"/>
          <w:szCs w:val="32"/>
        </w:rPr>
      </w:pPr>
      <w:r>
        <w:rPr>
          <w:rFonts w:hint="eastAsia" w:cstheme="majorEastAsia"/>
          <w:b/>
          <w:bCs/>
          <w:color w:val="auto"/>
          <w:kern w:val="0"/>
          <w:sz w:val="32"/>
          <w:szCs w:val="32"/>
        </w:rPr>
        <w:t>环境保护验收意见</w:t>
      </w:r>
    </w:p>
    <w:p>
      <w:pPr>
        <w:spacing w:line="360" w:lineRule="auto"/>
        <w:jc w:val="center"/>
        <w:rPr>
          <w:rFonts w:cstheme="majorEastAsia"/>
          <w:color w:val="auto"/>
          <w:sz w:val="28"/>
          <w:szCs w:val="28"/>
        </w:rPr>
      </w:pPr>
      <w:r>
        <w:rPr>
          <w:rFonts w:hint="eastAsia" w:cstheme="majorEastAsia"/>
          <w:color w:val="auto"/>
          <w:sz w:val="28"/>
          <w:szCs w:val="28"/>
        </w:rPr>
        <w:t xml:space="preserve">    根据《建设项目环境保护管理条例》、《建设项目竣工环境保护验收技术指南 污染影响类》、《建设项目竣工环境保护验收暂行办法》等相关法律、法规</w:t>
      </w:r>
    </w:p>
    <w:p>
      <w:pPr>
        <w:rPr>
          <w:rFonts w:cstheme="majorEastAsia"/>
          <w:color w:val="auto"/>
          <w:sz w:val="28"/>
          <w:szCs w:val="28"/>
        </w:rPr>
      </w:pPr>
      <w:r>
        <w:rPr>
          <w:rFonts w:hint="eastAsia" w:cstheme="majorEastAsia"/>
          <w:color w:val="auto"/>
          <w:sz w:val="28"/>
          <w:szCs w:val="28"/>
        </w:rPr>
        <w:t>以及技术规范等要求，2020年3月24日，</w:t>
      </w:r>
      <w:r>
        <w:rPr>
          <w:rFonts w:hint="eastAsia"/>
          <w:bCs/>
          <w:color w:val="auto"/>
          <w:sz w:val="28"/>
          <w:szCs w:val="28"/>
        </w:rPr>
        <w:t>山东寿光巨能特钢有限公司在项目现场</w:t>
      </w:r>
      <w:r>
        <w:rPr>
          <w:rFonts w:hint="eastAsia" w:cstheme="majorEastAsia"/>
          <w:color w:val="auto"/>
          <w:sz w:val="28"/>
          <w:szCs w:val="28"/>
        </w:rPr>
        <w:t>组织召开了“</w:t>
      </w:r>
      <w:r>
        <w:rPr>
          <w:rFonts w:hint="eastAsia"/>
          <w:bCs/>
          <w:color w:val="auto"/>
          <w:sz w:val="28"/>
          <w:szCs w:val="28"/>
        </w:rPr>
        <w:t>山东寿光巨能特钢有限公司</w:t>
      </w:r>
      <w:r>
        <w:rPr>
          <w:rFonts w:hint="eastAsia"/>
          <w:color w:val="auto"/>
          <w:sz w:val="28"/>
          <w:szCs w:val="28"/>
        </w:rPr>
        <w:t>高品质特钢精整生产线项目</w:t>
      </w:r>
      <w:r>
        <w:rPr>
          <w:rFonts w:hint="eastAsia" w:cstheme="majorEastAsia"/>
          <w:color w:val="auto"/>
          <w:sz w:val="28"/>
          <w:szCs w:val="28"/>
        </w:rPr>
        <w:t>”竣工环境保护验收会，参加会议的有</w:t>
      </w:r>
      <w:bookmarkStart w:id="0" w:name="_Hlk505366965"/>
      <w:r>
        <w:rPr>
          <w:rFonts w:hint="eastAsia" w:cstheme="majorEastAsia"/>
          <w:color w:val="auto"/>
          <w:sz w:val="28"/>
          <w:szCs w:val="28"/>
        </w:rPr>
        <w:t>项目建设单位—</w:t>
      </w:r>
      <w:r>
        <w:rPr>
          <w:rFonts w:hint="eastAsia"/>
          <w:bCs/>
          <w:color w:val="auto"/>
          <w:sz w:val="28"/>
          <w:szCs w:val="28"/>
        </w:rPr>
        <w:t>山东寿光巨能特钢有限公司</w:t>
      </w:r>
      <w:r>
        <w:rPr>
          <w:rFonts w:hint="eastAsia" w:cstheme="majorEastAsia"/>
          <w:color w:val="auto"/>
          <w:sz w:val="28"/>
          <w:szCs w:val="28"/>
        </w:rPr>
        <w:t>、环保验收</w:t>
      </w:r>
      <w:bookmarkEnd w:id="0"/>
      <w:r>
        <w:rPr>
          <w:rFonts w:hint="eastAsia" w:cstheme="majorEastAsia"/>
          <w:color w:val="auto"/>
          <w:sz w:val="28"/>
          <w:szCs w:val="28"/>
        </w:rPr>
        <w:t>报告编表制单位及验收监测单位—</w:t>
      </w:r>
      <w:r>
        <w:rPr>
          <w:rFonts w:hint="eastAsia" w:cstheme="majorEastAsia"/>
          <w:bCs/>
          <w:color w:val="auto"/>
          <w:spacing w:val="8"/>
          <w:kern w:val="0"/>
          <w:sz w:val="28"/>
          <w:szCs w:val="28"/>
        </w:rPr>
        <w:t>山东潍科检测服务有限公司</w:t>
      </w:r>
      <w:r>
        <w:rPr>
          <w:rFonts w:hint="eastAsia" w:cstheme="majorEastAsia"/>
          <w:color w:val="auto"/>
          <w:sz w:val="28"/>
          <w:szCs w:val="28"/>
        </w:rPr>
        <w:t>等单位的代表，并邀请了2名专家，会议成立了项目竣工环境保护验收组（名单附后）。参会人员对该项目工程、环境保护设施建设及运行情况进行了现场检查，听取了验收监测单位及报告编制单位对项目竣工环境保护验收监测调查情况的汇报，审阅并核实了有关资料，经认真讨论，形成验收意见如下：</w:t>
      </w:r>
    </w:p>
    <w:p>
      <w:pPr>
        <w:spacing w:line="360" w:lineRule="auto"/>
        <w:ind w:firstLine="562" w:firstLineChars="200"/>
        <w:outlineLvl w:val="0"/>
        <w:rPr>
          <w:rFonts w:cstheme="majorEastAsia"/>
          <w:b/>
          <w:color w:val="auto"/>
          <w:sz w:val="28"/>
          <w:szCs w:val="28"/>
        </w:rPr>
      </w:pPr>
      <w:r>
        <w:rPr>
          <w:rFonts w:hint="eastAsia" w:cstheme="majorEastAsia"/>
          <w:b/>
          <w:color w:val="auto"/>
          <w:sz w:val="28"/>
          <w:szCs w:val="28"/>
        </w:rPr>
        <w:t>一、项目建设基本情况</w:t>
      </w:r>
    </w:p>
    <w:p>
      <w:pPr>
        <w:spacing w:line="360" w:lineRule="auto"/>
        <w:ind w:firstLine="562" w:firstLineChars="200"/>
        <w:rPr>
          <w:rFonts w:cstheme="majorEastAsia"/>
          <w:b/>
          <w:bCs/>
          <w:color w:val="auto"/>
          <w:sz w:val="28"/>
          <w:szCs w:val="28"/>
        </w:rPr>
      </w:pPr>
      <w:r>
        <w:rPr>
          <w:rFonts w:hint="eastAsia" w:cstheme="majorEastAsia"/>
          <w:b/>
          <w:bCs/>
          <w:color w:val="auto"/>
          <w:sz w:val="28"/>
          <w:szCs w:val="28"/>
        </w:rPr>
        <w:t>1、建设地点、规模、主要建设内容</w:t>
      </w:r>
    </w:p>
    <w:p>
      <w:pPr>
        <w:spacing w:line="360" w:lineRule="auto"/>
        <w:ind w:firstLine="560" w:firstLineChars="200"/>
        <w:jc w:val="left"/>
        <w:rPr>
          <w:rFonts w:cstheme="majorEastAsia"/>
          <w:color w:val="auto"/>
          <w:sz w:val="28"/>
          <w:szCs w:val="28"/>
        </w:rPr>
      </w:pPr>
      <w:r>
        <w:rPr>
          <w:rFonts w:hint="eastAsia"/>
          <w:color w:val="auto"/>
          <w:sz w:val="28"/>
          <w:szCs w:val="28"/>
        </w:rPr>
        <w:t>山东寿光巨能特钢有限公司高品质特钢精整生产线项目位于山东省寿光市北洛工业园特钢路以西，安阳街以南，羊益铁路以东，北洛南五路以北。项目厂区外100m范围内没有学校、医院等环境敏感点。</w:t>
      </w:r>
    </w:p>
    <w:p>
      <w:pPr>
        <w:ind w:firstLine="560" w:firstLineChars="200"/>
        <w:rPr>
          <w:rFonts w:cstheme="majorEastAsia"/>
          <w:color w:val="auto"/>
          <w:sz w:val="28"/>
          <w:szCs w:val="28"/>
        </w:rPr>
      </w:pPr>
      <w:r>
        <w:rPr>
          <w:rFonts w:hint="eastAsia" w:cstheme="majorEastAsia"/>
          <w:color w:val="auto"/>
          <w:sz w:val="28"/>
          <w:szCs w:val="28"/>
        </w:rPr>
        <w:t>本项目新建厂房总建筑面积56535m</w:t>
      </w:r>
      <w:r>
        <w:rPr>
          <w:rFonts w:hint="eastAsia" w:cstheme="majorEastAsia"/>
          <w:color w:val="auto"/>
          <w:sz w:val="28"/>
          <w:szCs w:val="28"/>
          <w:vertAlign w:val="superscript"/>
        </w:rPr>
        <w:t>2</w:t>
      </w:r>
      <w:r>
        <w:rPr>
          <w:rFonts w:hint="eastAsia" w:cstheme="majorEastAsia"/>
          <w:color w:val="auto"/>
          <w:sz w:val="28"/>
          <w:szCs w:val="28"/>
        </w:rPr>
        <w:t>，新建1座步进梁式热处理炉（采用净化后的高炉煤气为燃料，配置1个高35米的煤烟烟囱和1个高35米的空烟烟囱）、新建3座电加热车底式退火炉、配备砂轮锯、抛丸机等设备共210台套。形成年产40万吨/年高品质特钢精整的生产能力。</w:t>
      </w:r>
    </w:p>
    <w:p>
      <w:pPr>
        <w:spacing w:line="360" w:lineRule="auto"/>
        <w:ind w:firstLine="562" w:firstLineChars="200"/>
        <w:rPr>
          <w:rFonts w:cstheme="majorEastAsia"/>
          <w:b/>
          <w:bCs/>
          <w:color w:val="auto"/>
          <w:sz w:val="28"/>
          <w:szCs w:val="28"/>
        </w:rPr>
      </w:pPr>
      <w:r>
        <w:rPr>
          <w:rFonts w:hint="eastAsia" w:cstheme="majorEastAsia"/>
          <w:b/>
          <w:bCs/>
          <w:color w:val="auto"/>
          <w:sz w:val="28"/>
          <w:szCs w:val="28"/>
        </w:rPr>
        <w:t>2、建设过程及环保审批情况</w:t>
      </w:r>
    </w:p>
    <w:p>
      <w:pPr>
        <w:spacing w:line="360" w:lineRule="auto"/>
        <w:ind w:firstLine="560" w:firstLineChars="200"/>
        <w:rPr>
          <w:rFonts w:cstheme="majorEastAsia"/>
          <w:color w:val="auto"/>
          <w:sz w:val="28"/>
          <w:szCs w:val="28"/>
        </w:rPr>
      </w:pPr>
      <w:r>
        <w:rPr>
          <w:rFonts w:hint="eastAsia"/>
          <w:color w:val="auto"/>
          <w:sz w:val="28"/>
          <w:szCs w:val="28"/>
        </w:rPr>
        <w:t>2015年11月，潍坊市环境科学研究设计院有限公司编制完成了《山东寿光巨能特钢有限公司高品质特钢精整生产线项目环境影响报告表》。2015年11月27日，原寿光市环境保护局以寿环审表字[2015]157号文对本项目环境影响报告表进行了批复。</w:t>
      </w:r>
    </w:p>
    <w:p>
      <w:pPr>
        <w:widowControl/>
        <w:adjustRightInd w:val="0"/>
        <w:snapToGrid w:val="0"/>
        <w:spacing w:line="360" w:lineRule="auto"/>
        <w:ind w:left="424" w:leftChars="202" w:firstLine="141" w:firstLineChars="50"/>
        <w:rPr>
          <w:color w:val="auto"/>
          <w:sz w:val="28"/>
          <w:szCs w:val="28"/>
        </w:rPr>
      </w:pPr>
      <w:r>
        <w:rPr>
          <w:rFonts w:hint="eastAsia" w:cs="宋体"/>
          <w:b/>
          <w:color w:val="auto"/>
          <w:kern w:val="0"/>
          <w:sz w:val="28"/>
          <w:szCs w:val="28"/>
        </w:rPr>
        <w:t>3、项目投资及劳动制度</w:t>
      </w:r>
    </w:p>
    <w:p>
      <w:pPr>
        <w:spacing w:line="360" w:lineRule="auto"/>
        <w:ind w:firstLine="560" w:firstLineChars="200"/>
        <w:rPr>
          <w:color w:val="auto"/>
          <w:sz w:val="28"/>
          <w:szCs w:val="28"/>
        </w:rPr>
      </w:pPr>
      <w:r>
        <w:rPr>
          <w:rFonts w:hint="eastAsia"/>
          <w:color w:val="auto"/>
          <w:sz w:val="28"/>
          <w:szCs w:val="28"/>
        </w:rPr>
        <w:t>项目总</w:t>
      </w:r>
      <w:r>
        <w:rPr>
          <w:color w:val="auto"/>
          <w:sz w:val="28"/>
          <w:szCs w:val="28"/>
        </w:rPr>
        <w:t>投资90700万元，环保投资953万元。</w:t>
      </w:r>
      <w:r>
        <w:rPr>
          <w:rFonts w:hint="eastAsia"/>
          <w:color w:val="auto"/>
          <w:sz w:val="28"/>
          <w:szCs w:val="28"/>
        </w:rPr>
        <w:t>项目新增</w:t>
      </w:r>
      <w:r>
        <w:rPr>
          <w:color w:val="auto"/>
          <w:sz w:val="28"/>
          <w:szCs w:val="28"/>
        </w:rPr>
        <w:t>劳动定员约2</w:t>
      </w:r>
      <w:r>
        <w:rPr>
          <w:rFonts w:hint="eastAsia"/>
          <w:color w:val="auto"/>
          <w:sz w:val="28"/>
          <w:szCs w:val="28"/>
        </w:rPr>
        <w:t>37</w:t>
      </w:r>
      <w:r>
        <w:rPr>
          <w:color w:val="auto"/>
          <w:sz w:val="28"/>
          <w:szCs w:val="28"/>
        </w:rPr>
        <w:t>名，实行三班制，每班8小时工作制，年工作天数33</w:t>
      </w:r>
      <w:r>
        <w:rPr>
          <w:rFonts w:hint="eastAsia"/>
          <w:color w:val="auto"/>
          <w:sz w:val="28"/>
          <w:szCs w:val="28"/>
        </w:rPr>
        <w:t>5</w:t>
      </w:r>
      <w:r>
        <w:rPr>
          <w:color w:val="auto"/>
          <w:sz w:val="28"/>
          <w:szCs w:val="28"/>
        </w:rPr>
        <w:t>天</w:t>
      </w:r>
      <w:r>
        <w:rPr>
          <w:rFonts w:hint="eastAsia"/>
          <w:color w:val="auto"/>
          <w:sz w:val="28"/>
          <w:szCs w:val="28"/>
        </w:rPr>
        <w:t>。</w:t>
      </w:r>
    </w:p>
    <w:p>
      <w:pPr>
        <w:spacing w:line="360" w:lineRule="auto"/>
        <w:ind w:firstLine="562" w:firstLineChars="200"/>
        <w:rPr>
          <w:rFonts w:cstheme="majorEastAsia"/>
          <w:b/>
          <w:bCs/>
          <w:color w:val="auto"/>
          <w:sz w:val="28"/>
          <w:szCs w:val="28"/>
        </w:rPr>
      </w:pPr>
      <w:r>
        <w:rPr>
          <w:rFonts w:hint="eastAsia" w:cstheme="majorEastAsia"/>
          <w:b/>
          <w:bCs/>
          <w:color w:val="auto"/>
          <w:sz w:val="28"/>
          <w:szCs w:val="28"/>
        </w:rPr>
        <w:t>4、验收范围</w:t>
      </w:r>
    </w:p>
    <w:p>
      <w:pPr>
        <w:spacing w:line="360" w:lineRule="auto"/>
        <w:ind w:firstLine="560" w:firstLineChars="200"/>
        <w:rPr>
          <w:rFonts w:cstheme="majorEastAsia"/>
          <w:color w:val="auto"/>
          <w:sz w:val="28"/>
          <w:szCs w:val="28"/>
        </w:rPr>
      </w:pPr>
      <w:r>
        <w:rPr>
          <w:rFonts w:hint="eastAsia" w:cstheme="majorEastAsia"/>
          <w:color w:val="auto"/>
          <w:sz w:val="28"/>
          <w:szCs w:val="28"/>
        </w:rPr>
        <w:t>本次验收范围按</w:t>
      </w:r>
      <w:r>
        <w:rPr>
          <w:rFonts w:hint="eastAsia"/>
          <w:color w:val="auto"/>
          <w:sz w:val="28"/>
          <w:szCs w:val="28"/>
        </w:rPr>
        <w:t>山东寿光巨能特钢有限公司高品质特钢精整生产线项目</w:t>
      </w:r>
      <w:r>
        <w:rPr>
          <w:rFonts w:hint="eastAsia" w:cstheme="majorEastAsia"/>
          <w:color w:val="auto"/>
          <w:sz w:val="28"/>
          <w:szCs w:val="28"/>
        </w:rPr>
        <w:t>实际建设内容进行验收。</w:t>
      </w:r>
    </w:p>
    <w:p>
      <w:pPr>
        <w:numPr>
          <w:ilvl w:val="0"/>
          <w:numId w:val="1"/>
        </w:numPr>
        <w:spacing w:line="360" w:lineRule="auto"/>
        <w:ind w:firstLine="562" w:firstLineChars="200"/>
        <w:outlineLvl w:val="0"/>
        <w:rPr>
          <w:rFonts w:cstheme="majorEastAsia"/>
          <w:b/>
          <w:color w:val="auto"/>
          <w:sz w:val="28"/>
          <w:szCs w:val="28"/>
        </w:rPr>
      </w:pPr>
      <w:r>
        <w:rPr>
          <w:rFonts w:hint="eastAsia" w:cstheme="majorEastAsia"/>
          <w:b/>
          <w:color w:val="auto"/>
          <w:sz w:val="28"/>
          <w:szCs w:val="28"/>
        </w:rPr>
        <w:t>项目工程变动情况</w:t>
      </w:r>
    </w:p>
    <w:p>
      <w:pPr>
        <w:pStyle w:val="14"/>
        <w:ind w:firstLine="0"/>
        <w:rPr>
          <w:color w:val="auto"/>
          <w:sz w:val="28"/>
          <w:szCs w:val="28"/>
        </w:rPr>
      </w:pPr>
      <w:r>
        <w:rPr>
          <w:rFonts w:hint="eastAsia"/>
          <w:b/>
          <w:color w:val="auto"/>
          <w:sz w:val="28"/>
          <w:szCs w:val="28"/>
        </w:rPr>
        <w:t>项目变更情况一览表</w:t>
      </w:r>
    </w:p>
    <w:tbl>
      <w:tblPr>
        <w:tblStyle w:val="15"/>
        <w:tblpPr w:leftFromText="180" w:rightFromText="180" w:vertAnchor="text" w:tblpXSpec="center" w:tblpY="1"/>
        <w:tblOverlap w:val="never"/>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3054"/>
        <w:gridCol w:w="3255"/>
        <w:gridCol w:w="1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2" w:type="dxa"/>
            <w:vAlign w:val="center"/>
          </w:tcPr>
          <w:p>
            <w:pPr>
              <w:spacing w:line="360" w:lineRule="auto"/>
              <w:jc w:val="center"/>
              <w:rPr>
                <w:color w:val="auto"/>
              </w:rPr>
            </w:pPr>
            <w:r>
              <w:rPr>
                <w:rFonts w:hint="eastAsia"/>
                <w:color w:val="auto"/>
              </w:rPr>
              <w:t>序号</w:t>
            </w:r>
          </w:p>
        </w:tc>
        <w:tc>
          <w:tcPr>
            <w:tcW w:w="3054" w:type="dxa"/>
            <w:vAlign w:val="center"/>
          </w:tcPr>
          <w:p>
            <w:pPr>
              <w:spacing w:line="360" w:lineRule="auto"/>
              <w:ind w:right="139" w:rightChars="66"/>
              <w:jc w:val="center"/>
              <w:rPr>
                <w:b/>
                <w:color w:val="auto"/>
              </w:rPr>
            </w:pPr>
            <w:r>
              <w:rPr>
                <w:rFonts w:hint="eastAsia"/>
                <w:b/>
                <w:color w:val="auto"/>
              </w:rPr>
              <w:t>环评及环评批复要求</w:t>
            </w:r>
          </w:p>
        </w:tc>
        <w:tc>
          <w:tcPr>
            <w:tcW w:w="3255" w:type="dxa"/>
            <w:vAlign w:val="center"/>
          </w:tcPr>
          <w:p>
            <w:pPr>
              <w:spacing w:line="360" w:lineRule="auto"/>
              <w:ind w:right="139" w:rightChars="66"/>
              <w:jc w:val="center"/>
              <w:rPr>
                <w:b/>
                <w:color w:val="auto"/>
              </w:rPr>
            </w:pPr>
            <w:r>
              <w:rPr>
                <w:rFonts w:hint="eastAsia"/>
                <w:b/>
                <w:color w:val="auto"/>
              </w:rPr>
              <w:t>实际建设情况</w:t>
            </w:r>
          </w:p>
        </w:tc>
        <w:tc>
          <w:tcPr>
            <w:tcW w:w="1937" w:type="dxa"/>
            <w:vAlign w:val="center"/>
          </w:tcPr>
          <w:p>
            <w:pPr>
              <w:spacing w:line="360" w:lineRule="auto"/>
              <w:ind w:right="139" w:rightChars="66"/>
              <w:jc w:val="center"/>
              <w:rPr>
                <w:b/>
                <w:color w:val="auto"/>
              </w:rPr>
            </w:pPr>
            <w:r>
              <w:rPr>
                <w:rFonts w:hint="eastAsia"/>
                <w:b/>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2" w:type="dxa"/>
            <w:vAlign w:val="center"/>
          </w:tcPr>
          <w:p>
            <w:pPr>
              <w:spacing w:line="360" w:lineRule="auto"/>
              <w:jc w:val="center"/>
              <w:rPr>
                <w:color w:val="auto"/>
              </w:rPr>
            </w:pPr>
            <w:r>
              <w:rPr>
                <w:rFonts w:hint="eastAsia"/>
                <w:color w:val="auto"/>
              </w:rPr>
              <w:t>1</w:t>
            </w:r>
          </w:p>
        </w:tc>
        <w:tc>
          <w:tcPr>
            <w:tcW w:w="3054" w:type="dxa"/>
            <w:vAlign w:val="center"/>
          </w:tcPr>
          <w:p>
            <w:pPr>
              <w:spacing w:line="360" w:lineRule="auto"/>
              <w:ind w:right="139" w:rightChars="66"/>
              <w:rPr>
                <w:b/>
                <w:color w:val="auto"/>
              </w:rPr>
            </w:pPr>
            <w:r>
              <w:rPr>
                <w:rFonts w:hint="eastAsia"/>
                <w:bCs/>
                <w:color w:val="auto"/>
              </w:rPr>
              <w:t>项目总投资151630万元，环保总投资4008万元，环保总投资占比为2.65%。</w:t>
            </w:r>
          </w:p>
        </w:tc>
        <w:tc>
          <w:tcPr>
            <w:tcW w:w="3255" w:type="dxa"/>
            <w:vAlign w:val="center"/>
          </w:tcPr>
          <w:p>
            <w:pPr>
              <w:spacing w:line="360" w:lineRule="auto"/>
              <w:ind w:right="139" w:rightChars="66"/>
              <w:rPr>
                <w:b/>
                <w:color w:val="auto"/>
              </w:rPr>
            </w:pPr>
            <w:r>
              <w:rPr>
                <w:rFonts w:hint="eastAsia"/>
                <w:bCs/>
                <w:color w:val="auto"/>
              </w:rPr>
              <w:t>项目总投资90700万元，环保总投资2100万元，环保总投资占比为2.31%。</w:t>
            </w:r>
          </w:p>
        </w:tc>
        <w:tc>
          <w:tcPr>
            <w:tcW w:w="1937" w:type="dxa"/>
            <w:vAlign w:val="center"/>
          </w:tcPr>
          <w:p>
            <w:pPr>
              <w:spacing w:line="360" w:lineRule="auto"/>
              <w:ind w:right="139" w:rightChars="66"/>
              <w:jc w:val="center"/>
              <w:rPr>
                <w:bCs/>
                <w:color w:val="auto"/>
              </w:rPr>
            </w:pPr>
            <w:r>
              <w:rPr>
                <w:rFonts w:hint="eastAsia"/>
                <w:bCs/>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2" w:type="dxa"/>
            <w:vAlign w:val="center"/>
          </w:tcPr>
          <w:p>
            <w:pPr>
              <w:spacing w:line="360" w:lineRule="auto"/>
              <w:jc w:val="center"/>
              <w:rPr>
                <w:color w:val="auto"/>
              </w:rPr>
            </w:pPr>
            <w:r>
              <w:rPr>
                <w:rFonts w:hint="eastAsia"/>
                <w:color w:val="auto"/>
              </w:rPr>
              <w:t xml:space="preserve"> 2</w:t>
            </w:r>
          </w:p>
        </w:tc>
        <w:tc>
          <w:tcPr>
            <w:tcW w:w="3054" w:type="dxa"/>
            <w:vAlign w:val="center"/>
          </w:tcPr>
          <w:p>
            <w:pPr>
              <w:pStyle w:val="35"/>
              <w:spacing w:line="240" w:lineRule="exact"/>
              <w:rPr>
                <w:rFonts w:ascii="Times New Roman" w:hAnsi="Times New Roman" w:eastAsia="宋体"/>
                <w:color w:val="auto"/>
                <w:kern w:val="10"/>
                <w:sz w:val="21"/>
                <w:szCs w:val="21"/>
              </w:rPr>
            </w:pPr>
            <w:r>
              <w:rPr>
                <w:rFonts w:hint="eastAsia" w:ascii="Times New Roman" w:hAnsi="Times New Roman" w:eastAsia="宋体"/>
                <w:color w:val="auto"/>
                <w:kern w:val="10"/>
                <w:sz w:val="21"/>
                <w:szCs w:val="21"/>
              </w:rPr>
              <w:t>建设4座车底式退火炉配套20m的烟囱</w:t>
            </w:r>
          </w:p>
        </w:tc>
        <w:tc>
          <w:tcPr>
            <w:tcW w:w="3255" w:type="dxa"/>
            <w:vAlign w:val="center"/>
          </w:tcPr>
          <w:p>
            <w:pPr>
              <w:pStyle w:val="35"/>
              <w:spacing w:line="240" w:lineRule="exact"/>
              <w:rPr>
                <w:rFonts w:ascii="Times New Roman" w:hAnsi="Times New Roman" w:eastAsia="宋体"/>
                <w:color w:val="auto"/>
                <w:kern w:val="10"/>
                <w:sz w:val="21"/>
                <w:szCs w:val="21"/>
              </w:rPr>
            </w:pPr>
            <w:r>
              <w:rPr>
                <w:rFonts w:hint="eastAsia" w:ascii="Times New Roman" w:hAnsi="Times New Roman" w:eastAsia="宋体"/>
                <w:color w:val="auto"/>
                <w:kern w:val="10"/>
                <w:sz w:val="21"/>
                <w:szCs w:val="21"/>
              </w:rPr>
              <w:t>建设3座车底式退火炉并为电加热</w:t>
            </w:r>
          </w:p>
        </w:tc>
        <w:tc>
          <w:tcPr>
            <w:tcW w:w="1937" w:type="dxa"/>
            <w:vAlign w:val="center"/>
          </w:tcPr>
          <w:p>
            <w:pPr>
              <w:pStyle w:val="35"/>
              <w:spacing w:line="240" w:lineRule="exact"/>
              <w:jc w:val="center"/>
              <w:rPr>
                <w:rFonts w:ascii="Times New Roman" w:hAnsi="Times New Roman" w:eastAsia="宋体"/>
                <w:color w:val="auto"/>
                <w:kern w:val="10"/>
                <w:sz w:val="21"/>
                <w:szCs w:val="21"/>
              </w:rPr>
            </w:pPr>
            <w:r>
              <w:rPr>
                <w:rFonts w:hint="eastAsia" w:ascii="Times New Roman" w:hAnsi="Times New Roman" w:eastAsia="宋体"/>
                <w:color w:val="auto"/>
                <w:kern w:val="10"/>
                <w:sz w:val="21"/>
                <w:szCs w:val="21"/>
              </w:rPr>
              <w:t>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2" w:type="dxa"/>
            <w:vAlign w:val="center"/>
          </w:tcPr>
          <w:p>
            <w:pPr>
              <w:spacing w:line="360" w:lineRule="auto"/>
              <w:jc w:val="center"/>
              <w:rPr>
                <w:color w:val="auto"/>
              </w:rPr>
            </w:pPr>
            <w:r>
              <w:rPr>
                <w:rFonts w:hint="eastAsia"/>
                <w:color w:val="auto"/>
              </w:rPr>
              <w:t>3</w:t>
            </w:r>
          </w:p>
        </w:tc>
        <w:tc>
          <w:tcPr>
            <w:tcW w:w="3054" w:type="dxa"/>
            <w:vAlign w:val="center"/>
          </w:tcPr>
          <w:p>
            <w:pPr>
              <w:pStyle w:val="36"/>
              <w:adjustRightInd/>
              <w:snapToGrid/>
              <w:jc w:val="left"/>
              <w:rPr>
                <w:rFonts w:hAnsi="Times New Roman"/>
                <w:color w:val="auto"/>
                <w:kern w:val="10"/>
              </w:rPr>
            </w:pPr>
            <w:r>
              <w:rPr>
                <w:rFonts w:hint="eastAsia" w:hAnsi="Times New Roman"/>
                <w:color w:val="auto"/>
              </w:rPr>
              <w:t>抛丸工序经设备自带的除尘系统处理后通过15米高以上排气筒排放。</w:t>
            </w:r>
          </w:p>
        </w:tc>
        <w:tc>
          <w:tcPr>
            <w:tcW w:w="3255" w:type="dxa"/>
            <w:vAlign w:val="center"/>
          </w:tcPr>
          <w:p>
            <w:pPr>
              <w:pStyle w:val="36"/>
              <w:adjustRightInd/>
              <w:snapToGrid/>
              <w:jc w:val="left"/>
              <w:rPr>
                <w:rFonts w:hAnsi="Times New Roman"/>
                <w:color w:val="auto"/>
              </w:rPr>
            </w:pPr>
            <w:r>
              <w:rPr>
                <w:rFonts w:hAnsi="Times New Roman"/>
                <w:color w:val="auto"/>
              </w:rPr>
              <w:t>1、</w:t>
            </w:r>
            <w:r>
              <w:rPr>
                <w:rFonts w:hint="eastAsia" w:hAnsi="Times New Roman"/>
                <w:color w:val="auto"/>
              </w:rPr>
              <w:t>抛丸工序和砂轮锯分别经设备自带的除尘系统处理后通过30米高以上排气筒排放</w:t>
            </w:r>
            <w:r>
              <w:rPr>
                <w:rFonts w:hAnsi="Times New Roman"/>
                <w:color w:val="auto"/>
              </w:rPr>
              <w:t>。</w:t>
            </w:r>
          </w:p>
          <w:p>
            <w:pPr>
              <w:pStyle w:val="36"/>
              <w:adjustRightInd/>
              <w:snapToGrid/>
              <w:jc w:val="left"/>
              <w:rPr>
                <w:rFonts w:hAnsi="Times New Roman"/>
                <w:color w:val="auto"/>
                <w:kern w:val="10"/>
              </w:rPr>
            </w:pPr>
            <w:r>
              <w:rPr>
                <w:rFonts w:hAnsi="Times New Roman"/>
                <w:color w:val="auto"/>
              </w:rPr>
              <w:t>2、</w:t>
            </w:r>
            <w:r>
              <w:rPr>
                <w:rFonts w:hint="eastAsia" w:hAnsi="Times New Roman"/>
                <w:color w:val="auto"/>
              </w:rPr>
              <w:t>项目新建1座步进梁式热处理炉，配置1个高35米的煤烟烟囱和1个高35米的空烟烟囱。</w:t>
            </w:r>
          </w:p>
        </w:tc>
        <w:tc>
          <w:tcPr>
            <w:tcW w:w="1937" w:type="dxa"/>
            <w:vAlign w:val="center"/>
          </w:tcPr>
          <w:p>
            <w:pPr>
              <w:pStyle w:val="36"/>
              <w:adjustRightInd/>
              <w:snapToGrid/>
              <w:rPr>
                <w:rFonts w:hAnsi="Times New Roman"/>
                <w:color w:val="auto"/>
              </w:rPr>
            </w:pPr>
            <w:r>
              <w:rPr>
                <w:rFonts w:hint="eastAsia" w:hAnsi="Times New Roman"/>
                <w:color w:val="auto"/>
                <w:kern w:val="10"/>
              </w:rPr>
              <w:t>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2" w:type="dxa"/>
            <w:vAlign w:val="center"/>
          </w:tcPr>
          <w:p>
            <w:pPr>
              <w:spacing w:line="360" w:lineRule="auto"/>
              <w:jc w:val="center"/>
              <w:rPr>
                <w:color w:val="auto"/>
              </w:rPr>
            </w:pPr>
            <w:r>
              <w:rPr>
                <w:rFonts w:hint="eastAsia"/>
                <w:color w:val="auto"/>
              </w:rPr>
              <w:t>4</w:t>
            </w:r>
          </w:p>
        </w:tc>
        <w:tc>
          <w:tcPr>
            <w:tcW w:w="3054" w:type="dxa"/>
            <w:vAlign w:val="center"/>
          </w:tcPr>
          <w:p>
            <w:pPr>
              <w:jc w:val="left"/>
              <w:rPr>
                <w:color w:val="auto"/>
              </w:rPr>
            </w:pPr>
            <w:r>
              <w:rPr>
                <w:rFonts w:hint="eastAsia"/>
                <w:color w:val="auto"/>
              </w:rPr>
              <w:t>配备火焰清理机及相应的处理措施</w:t>
            </w:r>
          </w:p>
        </w:tc>
        <w:tc>
          <w:tcPr>
            <w:tcW w:w="3255" w:type="dxa"/>
            <w:vAlign w:val="center"/>
          </w:tcPr>
          <w:p>
            <w:pPr>
              <w:jc w:val="left"/>
              <w:rPr>
                <w:color w:val="auto"/>
              </w:rPr>
            </w:pPr>
            <w:r>
              <w:rPr>
                <w:rFonts w:hint="eastAsia"/>
                <w:color w:val="auto"/>
              </w:rPr>
              <w:t>火焰清理机不再配备</w:t>
            </w:r>
          </w:p>
        </w:tc>
        <w:tc>
          <w:tcPr>
            <w:tcW w:w="1937" w:type="dxa"/>
            <w:vAlign w:val="center"/>
          </w:tcPr>
          <w:p>
            <w:pPr>
              <w:jc w:val="center"/>
              <w:rPr>
                <w:color w:val="auto"/>
              </w:rPr>
            </w:pPr>
            <w:r>
              <w:rPr>
                <w:rFonts w:hint="eastAsia"/>
                <w:color w:val="auto"/>
              </w:rPr>
              <w:t>/</w:t>
            </w:r>
          </w:p>
        </w:tc>
      </w:tr>
    </w:tbl>
    <w:p>
      <w:pPr>
        <w:adjustRightInd w:val="0"/>
        <w:snapToGrid w:val="0"/>
        <w:spacing w:before="312" w:beforeLines="100" w:line="360" w:lineRule="auto"/>
        <w:ind w:firstLine="480" w:firstLineChars="200"/>
        <w:rPr>
          <w:b/>
          <w:color w:val="auto"/>
          <w:sz w:val="24"/>
        </w:rPr>
      </w:pPr>
      <w:r>
        <w:rPr>
          <w:rFonts w:hint="eastAsia"/>
          <w:color w:val="auto"/>
          <w:sz w:val="24"/>
        </w:rPr>
        <w:t>根据环境保护部《关于印发环评管理中部分行业建设项目重大变动清单的通知》（环办〔2015〕52号），以上变更不属于重大变更。</w:t>
      </w:r>
    </w:p>
    <w:p>
      <w:pPr>
        <w:spacing w:line="360" w:lineRule="auto"/>
        <w:ind w:firstLine="562" w:firstLineChars="200"/>
        <w:outlineLvl w:val="0"/>
        <w:rPr>
          <w:rFonts w:cstheme="majorEastAsia"/>
          <w:b/>
          <w:color w:val="auto"/>
          <w:sz w:val="28"/>
          <w:szCs w:val="28"/>
        </w:rPr>
      </w:pPr>
      <w:r>
        <w:rPr>
          <w:rFonts w:hint="eastAsia" w:cstheme="majorEastAsia"/>
          <w:b/>
          <w:color w:val="auto"/>
          <w:sz w:val="28"/>
          <w:szCs w:val="28"/>
        </w:rPr>
        <w:t>三、环境保护措施建设情况</w:t>
      </w:r>
    </w:p>
    <w:p>
      <w:pPr>
        <w:autoSpaceDE w:val="0"/>
        <w:autoSpaceDN w:val="0"/>
        <w:adjustRightInd w:val="0"/>
        <w:spacing w:line="360" w:lineRule="auto"/>
        <w:ind w:firstLine="562" w:firstLineChars="200"/>
        <w:rPr>
          <w:rFonts w:cstheme="majorEastAsia"/>
          <w:color w:val="auto"/>
          <w:sz w:val="28"/>
          <w:szCs w:val="28"/>
        </w:rPr>
      </w:pPr>
      <w:r>
        <w:rPr>
          <w:rFonts w:hint="eastAsia" w:cstheme="majorEastAsia"/>
          <w:b/>
          <w:bCs/>
          <w:color w:val="auto"/>
          <w:sz w:val="28"/>
          <w:szCs w:val="28"/>
        </w:rPr>
        <w:t>1、废水</w:t>
      </w:r>
      <w:r>
        <w:rPr>
          <w:rFonts w:hint="eastAsia" w:cstheme="majorEastAsia"/>
          <w:color w:val="auto"/>
          <w:sz w:val="28"/>
          <w:szCs w:val="28"/>
        </w:rPr>
        <w:t>：</w:t>
      </w:r>
    </w:p>
    <w:p>
      <w:pPr>
        <w:adjustRightInd w:val="0"/>
        <w:snapToGrid w:val="0"/>
        <w:spacing w:line="360" w:lineRule="auto"/>
        <w:ind w:firstLine="560" w:firstLineChars="200"/>
        <w:rPr>
          <w:color w:val="auto"/>
          <w:sz w:val="28"/>
          <w:szCs w:val="28"/>
        </w:rPr>
      </w:pPr>
      <w:r>
        <w:rPr>
          <w:rFonts w:hint="eastAsia"/>
          <w:color w:val="auto"/>
          <w:sz w:val="28"/>
          <w:szCs w:val="28"/>
        </w:rPr>
        <w:t>项目污水主要是生产废水和生活污水，生活污水主要是职工洗涤污水和冲刷厕所的污水，生活污水排放量按照用水量的80%计算，约为9648m³/a，经化粪池滞留沉淀处理后经污水管网排入寿光市城北中冶华天水务有限公司污水处理厂。生产废水主要是直接冷却循环水系统不定时排出的浓盐水，一部分经铁皮沟进入旋流池沉淀，用水泵加压送轧线冲氧化铁皮使用，一部分水经水泵加压送高效浊水净化器进行处理，用水泵加压送直接冷却使用。高效浊水净化器净化后约有7m3/h含泥废水送至污泥处理系统调节池处理，浓缩池上清液和脱水滤液返回净化器处理。另一部分污水经管道排入现有项目污水处理厂处理后回用。。</w:t>
      </w:r>
    </w:p>
    <w:p>
      <w:pPr>
        <w:autoSpaceDE w:val="0"/>
        <w:autoSpaceDN w:val="0"/>
        <w:adjustRightInd w:val="0"/>
        <w:spacing w:line="360" w:lineRule="auto"/>
        <w:ind w:firstLine="562" w:firstLineChars="200"/>
        <w:rPr>
          <w:rFonts w:cstheme="majorEastAsia"/>
          <w:b/>
          <w:bCs/>
          <w:color w:val="auto"/>
          <w:sz w:val="28"/>
          <w:szCs w:val="28"/>
        </w:rPr>
      </w:pPr>
      <w:r>
        <w:rPr>
          <w:rFonts w:hint="eastAsia" w:cstheme="majorEastAsia"/>
          <w:b/>
          <w:bCs/>
          <w:color w:val="auto"/>
          <w:sz w:val="28"/>
          <w:szCs w:val="28"/>
        </w:rPr>
        <w:t>2、废气：</w:t>
      </w:r>
    </w:p>
    <w:p>
      <w:pPr>
        <w:adjustRightInd w:val="0"/>
        <w:snapToGrid w:val="0"/>
        <w:spacing w:line="360" w:lineRule="auto"/>
        <w:ind w:firstLine="560" w:firstLineChars="200"/>
        <w:rPr>
          <w:color w:val="auto"/>
          <w:sz w:val="28"/>
          <w:szCs w:val="28"/>
        </w:rPr>
      </w:pPr>
      <w:r>
        <w:rPr>
          <w:rFonts w:hint="eastAsia"/>
          <w:color w:val="auto"/>
          <w:sz w:val="28"/>
          <w:szCs w:val="28"/>
        </w:rPr>
        <w:t>步进梁式热处理炉配置有1个煤烟烟囱P</w:t>
      </w:r>
      <w:r>
        <w:rPr>
          <w:rFonts w:hint="eastAsia"/>
          <w:color w:val="auto"/>
          <w:sz w:val="28"/>
          <w:szCs w:val="28"/>
          <w:vertAlign w:val="subscript"/>
        </w:rPr>
        <w:t>1</w:t>
      </w:r>
      <w:r>
        <w:rPr>
          <w:rFonts w:hint="eastAsia"/>
          <w:color w:val="auto"/>
          <w:sz w:val="28"/>
          <w:szCs w:val="28"/>
        </w:rPr>
        <w:t>和1个空烟烟囱P</w:t>
      </w:r>
      <w:r>
        <w:rPr>
          <w:rFonts w:hint="eastAsia"/>
          <w:color w:val="auto"/>
          <w:sz w:val="28"/>
          <w:szCs w:val="28"/>
          <w:vertAlign w:val="subscript"/>
        </w:rPr>
        <w:t>2</w:t>
      </w:r>
      <w:r>
        <w:rPr>
          <w:rFonts w:hint="eastAsia"/>
          <w:color w:val="auto"/>
          <w:sz w:val="28"/>
          <w:szCs w:val="28"/>
        </w:rPr>
        <w:t>，使用双蓄热式烧嘴工艺，实现低温低氧燃烧、低NO</w:t>
      </w:r>
      <w:r>
        <w:rPr>
          <w:rFonts w:hint="eastAsia"/>
          <w:color w:val="auto"/>
          <w:sz w:val="28"/>
          <w:szCs w:val="28"/>
          <w:vertAlign w:val="subscript"/>
        </w:rPr>
        <w:t>X</w:t>
      </w:r>
      <w:r>
        <w:rPr>
          <w:rFonts w:hint="eastAsia"/>
          <w:color w:val="auto"/>
          <w:sz w:val="28"/>
          <w:szCs w:val="28"/>
        </w:rPr>
        <w:t>排放，分别通过约35m高空烟烟囱和煤烟烟囱排放（高出厂房5m）。</w:t>
      </w:r>
    </w:p>
    <w:p>
      <w:pPr>
        <w:pStyle w:val="14"/>
        <w:spacing w:line="360" w:lineRule="auto"/>
        <w:ind w:left="0" w:leftChars="0"/>
        <w:rPr>
          <w:color w:val="auto"/>
          <w:sz w:val="28"/>
          <w:szCs w:val="28"/>
        </w:rPr>
      </w:pPr>
      <w:r>
        <w:rPr>
          <w:rFonts w:hint="eastAsia"/>
          <w:color w:val="auto"/>
          <w:sz w:val="28"/>
          <w:szCs w:val="28"/>
        </w:rPr>
        <w:t>抛丸机在工作过程中产生粉尘，经设备自带的除尘系统、布袋脉冲除尘系统净化，分别通过30米高以上排气筒P</w:t>
      </w:r>
      <w:r>
        <w:rPr>
          <w:rFonts w:hint="eastAsia"/>
          <w:color w:val="auto"/>
          <w:sz w:val="28"/>
          <w:szCs w:val="28"/>
          <w:vertAlign w:val="subscript"/>
        </w:rPr>
        <w:t>3</w:t>
      </w:r>
      <w:r>
        <w:rPr>
          <w:rFonts w:hint="eastAsia"/>
          <w:color w:val="auto"/>
          <w:sz w:val="28"/>
          <w:szCs w:val="28"/>
        </w:rPr>
        <w:t>和P</w:t>
      </w:r>
      <w:r>
        <w:rPr>
          <w:rFonts w:hint="eastAsia"/>
          <w:color w:val="auto"/>
          <w:sz w:val="28"/>
          <w:szCs w:val="28"/>
          <w:vertAlign w:val="subscript"/>
        </w:rPr>
        <w:t>4</w:t>
      </w:r>
      <w:r>
        <w:rPr>
          <w:rFonts w:hint="eastAsia"/>
          <w:color w:val="auto"/>
          <w:sz w:val="28"/>
          <w:szCs w:val="28"/>
        </w:rPr>
        <w:t>排放（高出厂房3m）。3台砂轮锯分别设置了布袋除尘器，之后分别通过30米高以上排气筒P</w:t>
      </w:r>
      <w:r>
        <w:rPr>
          <w:rFonts w:hint="eastAsia"/>
          <w:color w:val="auto"/>
          <w:sz w:val="28"/>
          <w:szCs w:val="28"/>
          <w:vertAlign w:val="subscript"/>
        </w:rPr>
        <w:t>5</w:t>
      </w:r>
      <w:r>
        <w:rPr>
          <w:rFonts w:hint="eastAsia"/>
          <w:color w:val="auto"/>
          <w:sz w:val="28"/>
          <w:szCs w:val="28"/>
        </w:rPr>
        <w:t>、P</w:t>
      </w:r>
      <w:r>
        <w:rPr>
          <w:rFonts w:hint="eastAsia"/>
          <w:color w:val="auto"/>
          <w:sz w:val="28"/>
          <w:szCs w:val="28"/>
          <w:vertAlign w:val="subscript"/>
        </w:rPr>
        <w:t>6</w:t>
      </w:r>
      <w:r>
        <w:rPr>
          <w:rFonts w:hint="eastAsia"/>
          <w:color w:val="auto"/>
          <w:sz w:val="28"/>
          <w:szCs w:val="28"/>
        </w:rPr>
        <w:t>和P</w:t>
      </w:r>
      <w:r>
        <w:rPr>
          <w:rFonts w:hint="eastAsia"/>
          <w:color w:val="auto"/>
          <w:sz w:val="28"/>
          <w:szCs w:val="28"/>
          <w:vertAlign w:val="subscript"/>
        </w:rPr>
        <w:t>7</w:t>
      </w:r>
      <w:r>
        <w:rPr>
          <w:rFonts w:hint="eastAsia"/>
          <w:color w:val="auto"/>
          <w:sz w:val="28"/>
          <w:szCs w:val="28"/>
        </w:rPr>
        <w:t>排放（高出厂房3m）。</w:t>
      </w:r>
    </w:p>
    <w:p>
      <w:pPr>
        <w:pStyle w:val="14"/>
        <w:spacing w:line="360" w:lineRule="auto"/>
        <w:ind w:left="0" w:leftChars="0"/>
        <w:rPr>
          <w:color w:val="auto"/>
          <w:sz w:val="28"/>
          <w:szCs w:val="28"/>
        </w:rPr>
      </w:pPr>
      <w:r>
        <w:rPr>
          <w:rFonts w:hint="eastAsia"/>
          <w:color w:val="auto"/>
          <w:sz w:val="28"/>
          <w:szCs w:val="28"/>
        </w:rPr>
        <w:t>项目在人工打磨等工序会有少量的无组织粉尘产生，通过自然沉降、加强车间通风等减少无组织废气的排放。</w:t>
      </w:r>
    </w:p>
    <w:p>
      <w:pPr>
        <w:autoSpaceDE w:val="0"/>
        <w:autoSpaceDN w:val="0"/>
        <w:adjustRightInd w:val="0"/>
        <w:spacing w:line="360" w:lineRule="auto"/>
        <w:ind w:firstLine="281" w:firstLineChars="100"/>
        <w:rPr>
          <w:rFonts w:cstheme="majorEastAsia"/>
          <w:b/>
          <w:bCs/>
          <w:color w:val="auto"/>
          <w:sz w:val="28"/>
          <w:szCs w:val="28"/>
        </w:rPr>
      </w:pPr>
      <w:r>
        <w:rPr>
          <w:rFonts w:hint="eastAsia" w:cstheme="majorEastAsia"/>
          <w:b/>
          <w:bCs/>
          <w:color w:val="auto"/>
          <w:sz w:val="28"/>
          <w:szCs w:val="28"/>
        </w:rPr>
        <w:t>3、噪声:</w:t>
      </w:r>
    </w:p>
    <w:p>
      <w:pPr>
        <w:autoSpaceDE w:val="0"/>
        <w:autoSpaceDN w:val="0"/>
        <w:adjustRightInd w:val="0"/>
        <w:spacing w:line="360" w:lineRule="auto"/>
        <w:ind w:firstLine="560" w:firstLineChars="200"/>
        <w:rPr>
          <w:rFonts w:cstheme="majorEastAsia"/>
          <w:color w:val="auto"/>
          <w:sz w:val="28"/>
          <w:szCs w:val="28"/>
        </w:rPr>
      </w:pPr>
      <w:r>
        <w:rPr>
          <w:rFonts w:hint="eastAsia" w:cstheme="majorEastAsia"/>
          <w:color w:val="auto"/>
          <w:sz w:val="28"/>
          <w:szCs w:val="28"/>
        </w:rPr>
        <w:t>本工程产生噪声的设备主要有规圆机组、锯机、剪切机、热处理炉汽化冷却汽包排汽、助燃风机、排烟风机、高压水除鳞泵、各类水泵等。项目运行过程中设备均置于生产车间内，已对声源采用基础减震措施，并经过距离衰减等有效的降低设备噪声对周围环境的影响。</w:t>
      </w:r>
    </w:p>
    <w:p>
      <w:pPr>
        <w:autoSpaceDE w:val="0"/>
        <w:autoSpaceDN w:val="0"/>
        <w:adjustRightInd w:val="0"/>
        <w:spacing w:line="360" w:lineRule="auto"/>
        <w:ind w:firstLine="562" w:firstLineChars="200"/>
        <w:rPr>
          <w:rFonts w:cstheme="majorEastAsia"/>
          <w:b/>
          <w:bCs/>
          <w:color w:val="auto"/>
          <w:sz w:val="28"/>
          <w:szCs w:val="28"/>
        </w:rPr>
      </w:pPr>
      <w:r>
        <w:rPr>
          <w:rFonts w:hint="eastAsia" w:cstheme="majorEastAsia"/>
          <w:b/>
          <w:bCs/>
          <w:color w:val="auto"/>
          <w:sz w:val="28"/>
          <w:szCs w:val="28"/>
        </w:rPr>
        <w:t>4、固体废物：</w:t>
      </w:r>
    </w:p>
    <w:p>
      <w:pPr>
        <w:pStyle w:val="14"/>
        <w:ind w:left="0" w:leftChars="0" w:firstLine="560" w:firstLineChars="200"/>
        <w:rPr>
          <w:rFonts w:cstheme="majorEastAsia"/>
          <w:color w:val="auto"/>
          <w:sz w:val="28"/>
          <w:szCs w:val="28"/>
        </w:rPr>
      </w:pPr>
      <w:r>
        <w:rPr>
          <w:rFonts w:hint="eastAsia" w:cstheme="majorEastAsia"/>
          <w:color w:val="auto"/>
          <w:sz w:val="28"/>
          <w:szCs w:val="28"/>
        </w:rPr>
        <w:t>本工程产生的固体废物主要有：生活垃圾，氧化铁皮，切头、切尾及过程废品、收尘，废辊环及废备件，废耐火材料，废矿物油和废油桶，水处理污泥等。氧化铁皮、加工废品、收集的尘、废备件等送烧结厂回收利用；废耐火材料送往渣场综合利用；水处理污泥送往烧结厂综合利用；</w:t>
      </w:r>
      <w:r>
        <w:rPr>
          <w:rFonts w:hint="eastAsia" w:cstheme="majorEastAsia"/>
          <w:color w:val="auto"/>
          <w:sz w:val="28"/>
          <w:szCs w:val="28"/>
          <w:lang w:eastAsia="zh-CN"/>
        </w:rPr>
        <w:t>废矿物油和废油桶</w:t>
      </w:r>
      <w:r>
        <w:rPr>
          <w:rFonts w:hint="eastAsia" w:cstheme="majorEastAsia"/>
          <w:color w:val="auto"/>
          <w:sz w:val="28"/>
          <w:szCs w:val="28"/>
        </w:rPr>
        <w:t>收集后暂存于</w:t>
      </w:r>
      <w:bookmarkStart w:id="1" w:name="_GoBack"/>
      <w:bookmarkEnd w:id="1"/>
      <w:r>
        <w:rPr>
          <w:rFonts w:hint="eastAsia" w:cstheme="majorEastAsia"/>
          <w:color w:val="auto"/>
          <w:sz w:val="28"/>
          <w:szCs w:val="28"/>
        </w:rPr>
        <w:t>危废库，交由青州市鲁光润滑油有限公司处置。生活垃圾由环卫部门集中收集清运处理。</w:t>
      </w:r>
    </w:p>
    <w:p>
      <w:pPr>
        <w:spacing w:line="360" w:lineRule="auto"/>
        <w:ind w:firstLine="560" w:firstLineChars="200"/>
        <w:rPr>
          <w:rFonts w:cstheme="majorEastAsia"/>
          <w:color w:val="auto"/>
          <w:sz w:val="28"/>
          <w:szCs w:val="28"/>
        </w:rPr>
      </w:pPr>
      <w:r>
        <w:rPr>
          <w:rFonts w:hint="eastAsia" w:cstheme="majorEastAsia"/>
          <w:color w:val="auto"/>
          <w:sz w:val="28"/>
          <w:szCs w:val="28"/>
        </w:rPr>
        <w:t>5、卫生防护距离</w:t>
      </w:r>
    </w:p>
    <w:p>
      <w:pPr>
        <w:pStyle w:val="14"/>
        <w:rPr>
          <w:rFonts w:cstheme="majorEastAsia"/>
          <w:color w:val="auto"/>
          <w:sz w:val="28"/>
          <w:szCs w:val="28"/>
        </w:rPr>
      </w:pPr>
      <w:r>
        <w:rPr>
          <w:rFonts w:hint="eastAsia" w:cstheme="majorEastAsia"/>
          <w:color w:val="auto"/>
          <w:sz w:val="28"/>
          <w:szCs w:val="28"/>
        </w:rPr>
        <w:t>项目厂区100m距离内无新增敏感点。</w:t>
      </w:r>
    </w:p>
    <w:p>
      <w:pPr>
        <w:spacing w:line="360" w:lineRule="auto"/>
        <w:ind w:firstLine="562" w:firstLineChars="200"/>
        <w:rPr>
          <w:rFonts w:cstheme="majorEastAsia"/>
          <w:color w:val="auto"/>
          <w:sz w:val="28"/>
          <w:szCs w:val="28"/>
        </w:rPr>
      </w:pPr>
      <w:r>
        <w:rPr>
          <w:rFonts w:hint="eastAsia" w:cstheme="majorEastAsia"/>
          <w:b/>
          <w:color w:val="auto"/>
          <w:kern w:val="0"/>
          <w:sz w:val="28"/>
          <w:szCs w:val="28"/>
        </w:rPr>
        <w:t>6、其他环境保护设施</w:t>
      </w:r>
    </w:p>
    <w:p>
      <w:pPr>
        <w:widowControl/>
        <w:autoSpaceDE w:val="0"/>
        <w:autoSpaceDN w:val="0"/>
        <w:adjustRightInd w:val="0"/>
        <w:snapToGrid w:val="0"/>
        <w:spacing w:line="360" w:lineRule="auto"/>
        <w:ind w:firstLine="548" w:firstLineChars="196"/>
        <w:jc w:val="left"/>
        <w:rPr>
          <w:rFonts w:cstheme="majorEastAsia"/>
          <w:color w:val="auto"/>
          <w:kern w:val="0"/>
          <w:sz w:val="28"/>
          <w:szCs w:val="28"/>
        </w:rPr>
      </w:pPr>
      <w:r>
        <w:rPr>
          <w:rFonts w:hint="eastAsia" w:cstheme="majorEastAsia"/>
          <w:color w:val="auto"/>
          <w:kern w:val="0"/>
          <w:sz w:val="28"/>
          <w:szCs w:val="28"/>
        </w:rPr>
        <w:t>（1）环境风险防范设施</w:t>
      </w:r>
    </w:p>
    <w:p>
      <w:pPr>
        <w:widowControl/>
        <w:adjustRightInd w:val="0"/>
        <w:snapToGrid w:val="0"/>
        <w:spacing w:line="360" w:lineRule="auto"/>
        <w:ind w:firstLine="517" w:firstLineChars="196"/>
        <w:jc w:val="left"/>
        <w:rPr>
          <w:rFonts w:cstheme="majorEastAsia"/>
          <w:color w:val="auto"/>
          <w:spacing w:val="-8"/>
          <w:kern w:val="0"/>
          <w:sz w:val="28"/>
          <w:szCs w:val="28"/>
        </w:rPr>
      </w:pPr>
      <w:r>
        <w:rPr>
          <w:rFonts w:hint="eastAsia" w:cstheme="majorEastAsia"/>
          <w:color w:val="auto"/>
          <w:spacing w:val="-8"/>
          <w:kern w:val="0"/>
          <w:sz w:val="28"/>
          <w:szCs w:val="28"/>
        </w:rPr>
        <w:t>公司设有环保管理机构，环保规章制度基本完善。</w:t>
      </w:r>
    </w:p>
    <w:p>
      <w:pPr>
        <w:widowControl/>
        <w:adjustRightInd w:val="0"/>
        <w:snapToGrid w:val="0"/>
        <w:spacing w:line="360" w:lineRule="auto"/>
        <w:ind w:firstLine="548" w:firstLineChars="196"/>
        <w:jc w:val="left"/>
        <w:rPr>
          <w:rFonts w:cstheme="majorEastAsia"/>
          <w:color w:val="auto"/>
          <w:sz w:val="28"/>
          <w:szCs w:val="28"/>
        </w:rPr>
      </w:pPr>
      <w:r>
        <w:rPr>
          <w:rFonts w:hint="eastAsia" w:cstheme="majorEastAsia"/>
          <w:color w:val="auto"/>
          <w:sz w:val="28"/>
          <w:szCs w:val="28"/>
        </w:rPr>
        <w:t>公司编制了</w:t>
      </w:r>
      <w:r>
        <w:rPr>
          <w:rFonts w:hint="eastAsia" w:cstheme="majorEastAsia"/>
          <w:color w:val="auto"/>
          <w:spacing w:val="-8"/>
          <w:kern w:val="0"/>
          <w:sz w:val="28"/>
          <w:szCs w:val="28"/>
        </w:rPr>
        <w:t>《</w:t>
      </w:r>
      <w:r>
        <w:rPr>
          <w:rFonts w:hint="eastAsia"/>
          <w:color w:val="auto"/>
          <w:sz w:val="28"/>
          <w:szCs w:val="28"/>
        </w:rPr>
        <w:t>山东寿光巨能特钢有限公司</w:t>
      </w:r>
      <w:r>
        <w:rPr>
          <w:rFonts w:hint="eastAsia" w:cstheme="majorEastAsia"/>
          <w:color w:val="auto"/>
          <w:spacing w:val="-8"/>
          <w:kern w:val="0"/>
          <w:sz w:val="28"/>
          <w:szCs w:val="28"/>
        </w:rPr>
        <w:t>突发环境事件应急预案》，</w:t>
      </w:r>
      <w:r>
        <w:rPr>
          <w:rFonts w:hint="eastAsia" w:cstheme="majorEastAsia"/>
          <w:color w:val="auto"/>
          <w:sz w:val="28"/>
          <w:szCs w:val="28"/>
        </w:rPr>
        <w:t>适用于本公司的突发环境事件和应急处置工作，已在原寿光市环保局备案，备案号</w:t>
      </w:r>
      <w:r>
        <w:rPr>
          <w:color w:val="auto"/>
          <w:sz w:val="28"/>
          <w:szCs w:val="28"/>
        </w:rPr>
        <w:t>370783-2018-656M</w:t>
      </w:r>
      <w:r>
        <w:rPr>
          <w:rFonts w:hint="eastAsia" w:cstheme="majorEastAsia"/>
          <w:color w:val="auto"/>
          <w:sz w:val="28"/>
          <w:szCs w:val="28"/>
        </w:rPr>
        <w:t xml:space="preserve">。 </w:t>
      </w:r>
    </w:p>
    <w:p>
      <w:pPr>
        <w:widowControl/>
        <w:adjustRightInd w:val="0"/>
        <w:snapToGrid w:val="0"/>
        <w:spacing w:line="360" w:lineRule="auto"/>
        <w:ind w:firstLine="560" w:firstLineChars="200"/>
        <w:jc w:val="left"/>
        <w:rPr>
          <w:rFonts w:cstheme="majorEastAsia"/>
          <w:color w:val="auto"/>
          <w:sz w:val="28"/>
          <w:szCs w:val="28"/>
        </w:rPr>
      </w:pPr>
      <w:r>
        <w:rPr>
          <w:rFonts w:hint="eastAsia"/>
          <w:color w:val="auto"/>
          <w:sz w:val="28"/>
          <w:szCs w:val="28"/>
        </w:rPr>
        <w:t>公司制定重污染天气应急预案，并严格执行。</w:t>
      </w:r>
    </w:p>
    <w:p>
      <w:pPr>
        <w:widowControl/>
        <w:adjustRightInd w:val="0"/>
        <w:snapToGrid w:val="0"/>
        <w:spacing w:line="360" w:lineRule="auto"/>
        <w:ind w:firstLine="548" w:firstLineChars="196"/>
        <w:jc w:val="left"/>
        <w:rPr>
          <w:rFonts w:cstheme="majorEastAsia"/>
          <w:color w:val="auto"/>
          <w:kern w:val="0"/>
          <w:sz w:val="28"/>
          <w:szCs w:val="28"/>
        </w:rPr>
      </w:pPr>
      <w:r>
        <w:rPr>
          <w:rFonts w:hint="eastAsia" w:cstheme="majorEastAsia"/>
          <w:color w:val="auto"/>
          <w:kern w:val="0"/>
          <w:sz w:val="28"/>
          <w:szCs w:val="28"/>
        </w:rPr>
        <w:t>（2）项目无在线监测装置。</w:t>
      </w:r>
    </w:p>
    <w:p>
      <w:pPr>
        <w:pStyle w:val="14"/>
        <w:ind w:left="0" w:leftChars="0" w:firstLine="560" w:firstLineChars="200"/>
        <w:rPr>
          <w:color w:val="auto"/>
          <w:sz w:val="28"/>
          <w:szCs w:val="28"/>
        </w:rPr>
      </w:pPr>
      <w:r>
        <w:rPr>
          <w:rFonts w:hint="eastAsia"/>
          <w:color w:val="auto"/>
          <w:sz w:val="28"/>
          <w:szCs w:val="28"/>
        </w:rPr>
        <w:t>排气筒未安装在线监测系统。</w:t>
      </w:r>
    </w:p>
    <w:p>
      <w:pPr>
        <w:spacing w:line="360" w:lineRule="auto"/>
        <w:ind w:firstLine="562" w:firstLineChars="200"/>
        <w:outlineLvl w:val="0"/>
        <w:rPr>
          <w:rFonts w:cstheme="majorEastAsia"/>
          <w:b/>
          <w:bCs/>
          <w:color w:val="auto"/>
          <w:kern w:val="0"/>
          <w:sz w:val="28"/>
          <w:szCs w:val="28"/>
        </w:rPr>
      </w:pPr>
      <w:r>
        <w:rPr>
          <w:rFonts w:hint="eastAsia" w:cstheme="majorEastAsia"/>
          <w:b/>
          <w:bCs/>
          <w:color w:val="auto"/>
          <w:kern w:val="0"/>
          <w:sz w:val="28"/>
          <w:szCs w:val="28"/>
        </w:rPr>
        <w:t>四、环境保护设施调试效果</w:t>
      </w:r>
    </w:p>
    <w:p>
      <w:pPr>
        <w:widowControl/>
        <w:adjustRightInd w:val="0"/>
        <w:snapToGrid w:val="0"/>
        <w:spacing w:line="360" w:lineRule="auto"/>
        <w:ind w:firstLine="560" w:firstLineChars="200"/>
        <w:rPr>
          <w:rFonts w:cstheme="majorEastAsia"/>
          <w:color w:val="auto"/>
          <w:sz w:val="28"/>
          <w:szCs w:val="28"/>
        </w:rPr>
      </w:pPr>
      <w:r>
        <w:rPr>
          <w:rFonts w:hint="eastAsia" w:cstheme="majorEastAsia"/>
          <w:color w:val="auto"/>
          <w:sz w:val="28"/>
          <w:szCs w:val="28"/>
        </w:rPr>
        <w:t xml:space="preserve"> </w:t>
      </w:r>
      <w:r>
        <w:rPr>
          <w:rFonts w:hint="eastAsia" w:cstheme="majorEastAsia"/>
          <w:bCs/>
          <w:color w:val="auto"/>
          <w:spacing w:val="8"/>
          <w:kern w:val="0"/>
          <w:sz w:val="28"/>
          <w:szCs w:val="28"/>
        </w:rPr>
        <w:t>山东潍科检测服务有限公司</w:t>
      </w:r>
      <w:r>
        <w:rPr>
          <w:rFonts w:hint="eastAsia" w:cstheme="majorEastAsia"/>
          <w:bCs/>
          <w:color w:val="auto"/>
          <w:sz w:val="28"/>
          <w:szCs w:val="28"/>
        </w:rPr>
        <w:t>编</w:t>
      </w:r>
      <w:r>
        <w:rPr>
          <w:rFonts w:hint="eastAsia" w:cstheme="majorEastAsia"/>
          <w:color w:val="auto"/>
          <w:sz w:val="28"/>
          <w:szCs w:val="28"/>
        </w:rPr>
        <w:t>制的《</w:t>
      </w:r>
      <w:r>
        <w:rPr>
          <w:rFonts w:hint="eastAsia"/>
          <w:color w:val="auto"/>
          <w:sz w:val="28"/>
          <w:szCs w:val="28"/>
        </w:rPr>
        <w:t>山东寿光巨能特钢有限公司高品质特钢精整生产线项目</w:t>
      </w:r>
      <w:r>
        <w:rPr>
          <w:rFonts w:hint="eastAsia" w:cstheme="majorEastAsia"/>
          <w:color w:val="auto"/>
          <w:sz w:val="28"/>
          <w:szCs w:val="28"/>
        </w:rPr>
        <w:t>竣工环境保护验收监测报告表》表明，验收监测期间，项目生产工况稳定，环境保护设备正常运行，满足建设项目竣工环境保护验收监测对工况稳定以及环保设备运行的要求，监测结果可以作为该项目竣工环境保护验收依据。</w:t>
      </w:r>
    </w:p>
    <w:p>
      <w:pPr>
        <w:spacing w:line="360" w:lineRule="auto"/>
        <w:ind w:firstLine="560" w:firstLineChars="200"/>
        <w:rPr>
          <w:rFonts w:cstheme="majorEastAsia"/>
          <w:color w:val="auto"/>
          <w:sz w:val="28"/>
          <w:szCs w:val="28"/>
        </w:rPr>
      </w:pPr>
      <w:r>
        <w:rPr>
          <w:rFonts w:hint="eastAsia" w:cstheme="majorEastAsia"/>
          <w:color w:val="auto"/>
          <w:sz w:val="28"/>
          <w:szCs w:val="28"/>
        </w:rPr>
        <w:t>验收期间污染物排放情况如下：</w:t>
      </w:r>
    </w:p>
    <w:p>
      <w:pPr>
        <w:spacing w:line="360" w:lineRule="auto"/>
        <w:ind w:firstLine="562" w:firstLineChars="200"/>
        <w:rPr>
          <w:rFonts w:cstheme="majorEastAsia"/>
          <w:b/>
          <w:bCs/>
          <w:color w:val="auto"/>
          <w:sz w:val="28"/>
          <w:szCs w:val="28"/>
        </w:rPr>
      </w:pPr>
      <w:r>
        <w:rPr>
          <w:rFonts w:hint="eastAsia" w:cstheme="majorEastAsia"/>
          <w:b/>
          <w:bCs/>
          <w:color w:val="auto"/>
          <w:sz w:val="28"/>
          <w:szCs w:val="28"/>
        </w:rPr>
        <w:t>1、废气</w:t>
      </w:r>
    </w:p>
    <w:p>
      <w:pPr>
        <w:spacing w:line="360" w:lineRule="auto"/>
        <w:ind w:firstLine="840" w:firstLineChars="300"/>
        <w:rPr>
          <w:rFonts w:cstheme="majorEastAsia"/>
          <w:color w:val="auto"/>
          <w:sz w:val="28"/>
          <w:szCs w:val="28"/>
        </w:rPr>
      </w:pPr>
      <w:r>
        <w:rPr>
          <w:rFonts w:hint="eastAsia" w:cstheme="majorEastAsia"/>
          <w:color w:val="auto"/>
          <w:sz w:val="28"/>
          <w:szCs w:val="28"/>
        </w:rPr>
        <w:t>步进梁式热处理炉煤烟烟囱排气筒P1废气颗粒物、二氧化硫、氮氧化物的排放浓度最大值分别为4.9mg/m</w:t>
      </w:r>
      <w:r>
        <w:rPr>
          <w:rFonts w:hint="eastAsia" w:cstheme="majorEastAsia"/>
          <w:color w:val="auto"/>
          <w:sz w:val="28"/>
          <w:szCs w:val="28"/>
          <w:vertAlign w:val="superscript"/>
        </w:rPr>
        <w:t>3</w:t>
      </w:r>
      <w:r>
        <w:rPr>
          <w:rFonts w:hint="eastAsia" w:cstheme="majorEastAsia"/>
          <w:color w:val="auto"/>
          <w:sz w:val="28"/>
          <w:szCs w:val="28"/>
        </w:rPr>
        <w:t>，21mg/m</w:t>
      </w:r>
      <w:r>
        <w:rPr>
          <w:rFonts w:hint="eastAsia" w:cstheme="majorEastAsia"/>
          <w:color w:val="auto"/>
          <w:sz w:val="28"/>
          <w:szCs w:val="28"/>
          <w:vertAlign w:val="superscript"/>
        </w:rPr>
        <w:t>3</w:t>
      </w:r>
      <w:r>
        <w:rPr>
          <w:rFonts w:hint="eastAsia" w:cstheme="majorEastAsia"/>
          <w:color w:val="auto"/>
          <w:sz w:val="28"/>
          <w:szCs w:val="28"/>
        </w:rPr>
        <w:t>，22mg/m</w:t>
      </w:r>
      <w:r>
        <w:rPr>
          <w:rFonts w:hint="eastAsia" w:cstheme="majorEastAsia"/>
          <w:color w:val="auto"/>
          <w:sz w:val="28"/>
          <w:szCs w:val="28"/>
          <w:vertAlign w:val="superscript"/>
        </w:rPr>
        <w:t>3</w:t>
      </w:r>
      <w:r>
        <w:rPr>
          <w:rFonts w:hint="eastAsia" w:cstheme="majorEastAsia"/>
          <w:color w:val="auto"/>
          <w:sz w:val="28"/>
          <w:szCs w:val="28"/>
        </w:rPr>
        <w:t>；步进梁式热处理炉空烟烟囱排气筒废气颗粒物、二氧化硫、氮氧化物的排放浓度最大值分别为4.8mg/m</w:t>
      </w:r>
      <w:r>
        <w:rPr>
          <w:rFonts w:hint="eastAsia" w:cstheme="majorEastAsia"/>
          <w:color w:val="auto"/>
          <w:sz w:val="28"/>
          <w:szCs w:val="28"/>
          <w:vertAlign w:val="superscript"/>
        </w:rPr>
        <w:t>3</w:t>
      </w:r>
      <w:r>
        <w:rPr>
          <w:rFonts w:hint="eastAsia" w:cstheme="majorEastAsia"/>
          <w:color w:val="auto"/>
          <w:sz w:val="28"/>
          <w:szCs w:val="28"/>
        </w:rPr>
        <w:t>，22mg/m</w:t>
      </w:r>
      <w:r>
        <w:rPr>
          <w:rFonts w:hint="eastAsia" w:cstheme="majorEastAsia"/>
          <w:color w:val="auto"/>
          <w:sz w:val="28"/>
          <w:szCs w:val="28"/>
          <w:vertAlign w:val="superscript"/>
        </w:rPr>
        <w:t>3</w:t>
      </w:r>
      <w:r>
        <w:rPr>
          <w:rFonts w:hint="eastAsia" w:cstheme="majorEastAsia"/>
          <w:color w:val="auto"/>
          <w:sz w:val="28"/>
          <w:szCs w:val="28"/>
        </w:rPr>
        <w:t>，23mg/m</w:t>
      </w:r>
      <w:r>
        <w:rPr>
          <w:rFonts w:hint="eastAsia" w:cstheme="majorEastAsia"/>
          <w:color w:val="auto"/>
          <w:sz w:val="28"/>
          <w:szCs w:val="28"/>
          <w:vertAlign w:val="superscript"/>
        </w:rPr>
        <w:t>3</w:t>
      </w:r>
      <w:r>
        <w:rPr>
          <w:rFonts w:hint="eastAsia" w:cstheme="majorEastAsia"/>
          <w:color w:val="auto"/>
          <w:sz w:val="28"/>
          <w:szCs w:val="28"/>
        </w:rPr>
        <w:t xml:space="preserve">，两根排气筒颗粒物、二氧化硫、氮氧化物的排放浓度均满足《山东省钢铁工业污染物排放标准》（DB37/990-2013）表1山东省钢铁工业大气污染物排放浓度限值要求。等效排气筒中颗粒物排放速率为0.33kg/h、二氧化硫的排放速率为1.39kg/h、氮氧化物的排放速率为1.41kg/h，均满足《大气污染物综合排放标准》（GB 16297-1996）实测浓度限值要求。    </w:t>
      </w:r>
    </w:p>
    <w:p>
      <w:pPr>
        <w:spacing w:line="360" w:lineRule="auto"/>
        <w:ind w:firstLine="840" w:firstLineChars="300"/>
        <w:rPr>
          <w:rFonts w:cstheme="majorEastAsia"/>
          <w:color w:val="auto"/>
          <w:sz w:val="28"/>
          <w:szCs w:val="28"/>
        </w:rPr>
      </w:pPr>
      <w:r>
        <w:rPr>
          <w:rFonts w:hint="eastAsia" w:cstheme="majorEastAsia"/>
          <w:color w:val="auto"/>
          <w:sz w:val="28"/>
          <w:szCs w:val="28"/>
        </w:rPr>
        <w:t>抛丸机排气筒进口中颗粒物两天浓度最大值为1554mg/m</w:t>
      </w:r>
      <w:r>
        <w:rPr>
          <w:rFonts w:hint="eastAsia" w:cstheme="majorEastAsia"/>
          <w:color w:val="auto"/>
          <w:sz w:val="28"/>
          <w:szCs w:val="28"/>
          <w:vertAlign w:val="superscript"/>
        </w:rPr>
        <w:t>3</w:t>
      </w:r>
      <w:r>
        <w:rPr>
          <w:rFonts w:hint="eastAsia" w:cstheme="majorEastAsia"/>
          <w:color w:val="auto"/>
          <w:sz w:val="28"/>
          <w:szCs w:val="28"/>
        </w:rPr>
        <w:t>。抛丸机排气筒中颗粒物两天浓度最大值为7.0mg/m</w:t>
      </w:r>
      <w:r>
        <w:rPr>
          <w:rFonts w:hint="eastAsia" w:cstheme="majorEastAsia"/>
          <w:color w:val="auto"/>
          <w:sz w:val="28"/>
          <w:szCs w:val="28"/>
          <w:vertAlign w:val="superscript"/>
        </w:rPr>
        <w:t>3</w:t>
      </w:r>
      <w:r>
        <w:rPr>
          <w:rFonts w:hint="eastAsia" w:cstheme="majorEastAsia"/>
          <w:color w:val="auto"/>
          <w:sz w:val="28"/>
          <w:szCs w:val="28"/>
        </w:rPr>
        <w:t>，满足《区域性大气污染物综合排放标准》（DB37/ 2376-2019）表1大气污染物排放浓度限值重点控制区要求，也满足《山东省钢铁工业污染物排放标准》（DB37/990-2013）表1山东省钢铁工业大气污染物排放浓度限值要求。抛丸机颗粒物的去除效率为99.5%。</w:t>
      </w:r>
    </w:p>
    <w:p>
      <w:pPr>
        <w:spacing w:line="360" w:lineRule="auto"/>
        <w:ind w:firstLine="560" w:firstLineChars="200"/>
        <w:rPr>
          <w:rFonts w:cstheme="majorEastAsia"/>
          <w:color w:val="auto"/>
          <w:sz w:val="28"/>
          <w:szCs w:val="28"/>
        </w:rPr>
      </w:pPr>
      <w:r>
        <w:rPr>
          <w:rFonts w:hint="eastAsia" w:cstheme="majorEastAsia"/>
          <w:color w:val="auto"/>
          <w:sz w:val="28"/>
          <w:szCs w:val="28"/>
        </w:rPr>
        <w:t>B线抛丸机排气筒进口中颗粒物两天浓度最大值为1160mg/m</w:t>
      </w:r>
      <w:r>
        <w:rPr>
          <w:rFonts w:hint="eastAsia" w:cstheme="majorEastAsia"/>
          <w:color w:val="auto"/>
          <w:sz w:val="28"/>
          <w:szCs w:val="28"/>
          <w:vertAlign w:val="superscript"/>
        </w:rPr>
        <w:t>3</w:t>
      </w:r>
      <w:r>
        <w:rPr>
          <w:rFonts w:hint="eastAsia" w:cstheme="majorEastAsia"/>
          <w:color w:val="auto"/>
          <w:sz w:val="28"/>
          <w:szCs w:val="28"/>
        </w:rPr>
        <w:t>，B线抛丸机排气筒中颗粒物两天浓度最大值为6.6mg/m</w:t>
      </w:r>
      <w:r>
        <w:rPr>
          <w:rFonts w:hint="eastAsia" w:cstheme="majorEastAsia"/>
          <w:color w:val="auto"/>
          <w:sz w:val="28"/>
          <w:szCs w:val="28"/>
          <w:vertAlign w:val="superscript"/>
        </w:rPr>
        <w:t>3</w:t>
      </w:r>
      <w:r>
        <w:rPr>
          <w:rFonts w:hint="eastAsia" w:cstheme="majorEastAsia"/>
          <w:color w:val="auto"/>
          <w:sz w:val="28"/>
          <w:szCs w:val="28"/>
        </w:rPr>
        <w:t>，满足《区域性大气污染物综合排放标准》（DB37/ 2376-2019）表1大气污染物排放浓度限值重点控制区要求。也满足《山东省钢铁工业污染物排放标准》（DB37/990-2013）表1山东省钢铁工业大气污染物排放浓度限值要求。B线抛丸机颗粒物的去除效率为99.4%。</w:t>
      </w:r>
    </w:p>
    <w:p>
      <w:pPr>
        <w:spacing w:line="360" w:lineRule="auto"/>
        <w:ind w:firstLine="560" w:firstLineChars="200"/>
        <w:rPr>
          <w:rFonts w:cstheme="majorEastAsia"/>
          <w:color w:val="auto"/>
          <w:sz w:val="28"/>
          <w:szCs w:val="28"/>
        </w:rPr>
      </w:pPr>
      <w:r>
        <w:rPr>
          <w:rFonts w:hint="eastAsia" w:cstheme="majorEastAsia"/>
          <w:color w:val="auto"/>
          <w:sz w:val="28"/>
          <w:szCs w:val="28"/>
        </w:rPr>
        <w:t>1号砂轮锯+布袋除尘器进口颗粒物两天浓度最大值为1051mg/m</w:t>
      </w:r>
      <w:r>
        <w:rPr>
          <w:rFonts w:hint="eastAsia" w:cstheme="majorEastAsia"/>
          <w:color w:val="auto"/>
          <w:sz w:val="28"/>
          <w:szCs w:val="28"/>
          <w:vertAlign w:val="superscript"/>
        </w:rPr>
        <w:t>3</w:t>
      </w:r>
      <w:r>
        <w:rPr>
          <w:rFonts w:hint="eastAsia" w:cstheme="majorEastAsia"/>
          <w:color w:val="auto"/>
          <w:sz w:val="28"/>
          <w:szCs w:val="28"/>
        </w:rPr>
        <w:t>，1号砂轮锯+布袋除尘器排气筒P</w:t>
      </w:r>
      <w:r>
        <w:rPr>
          <w:rFonts w:hint="eastAsia" w:cstheme="majorEastAsia"/>
          <w:color w:val="auto"/>
          <w:sz w:val="28"/>
          <w:szCs w:val="28"/>
          <w:vertAlign w:val="subscript"/>
        </w:rPr>
        <w:t>5</w:t>
      </w:r>
      <w:r>
        <w:rPr>
          <w:rFonts w:hint="eastAsia" w:cstheme="majorEastAsia"/>
          <w:color w:val="auto"/>
          <w:sz w:val="28"/>
          <w:szCs w:val="28"/>
        </w:rPr>
        <w:t>采样口颗粒物两天浓度最大值为4.6mg/m</w:t>
      </w:r>
      <w:r>
        <w:rPr>
          <w:rFonts w:hint="eastAsia" w:cstheme="majorEastAsia"/>
          <w:color w:val="auto"/>
          <w:sz w:val="28"/>
          <w:szCs w:val="28"/>
          <w:vertAlign w:val="superscript"/>
        </w:rPr>
        <w:t>3</w:t>
      </w:r>
      <w:r>
        <w:rPr>
          <w:rFonts w:hint="eastAsia" w:cstheme="majorEastAsia"/>
          <w:color w:val="auto"/>
          <w:sz w:val="28"/>
          <w:szCs w:val="28"/>
        </w:rPr>
        <w:t>，满足《区域性大气污染物综合排放标准》（DB37/ 2376-2019）表1大气污染物排放浓度限值重点控制区要求，也满足《山东省钢铁工业污染物排放标准》（DB37/990-2013）表1山东省钢铁工业大气污染物排放浓度限值要求。1号砂轮锯布袋除尘颗粒物的去除效率为99.6%。</w:t>
      </w:r>
    </w:p>
    <w:p>
      <w:pPr>
        <w:spacing w:line="360" w:lineRule="auto"/>
        <w:ind w:firstLine="840" w:firstLineChars="300"/>
        <w:rPr>
          <w:rFonts w:cstheme="majorEastAsia"/>
          <w:color w:val="auto"/>
          <w:sz w:val="28"/>
          <w:szCs w:val="28"/>
        </w:rPr>
      </w:pPr>
      <w:r>
        <w:rPr>
          <w:rFonts w:hint="eastAsia" w:cstheme="majorEastAsia"/>
          <w:color w:val="auto"/>
          <w:sz w:val="28"/>
          <w:szCs w:val="28"/>
        </w:rPr>
        <w:t>2号砂轮锯+布袋除尘器进口颗粒物两天浓度最大值为1171mg/m</w:t>
      </w:r>
      <w:r>
        <w:rPr>
          <w:rFonts w:hint="eastAsia" w:cstheme="majorEastAsia"/>
          <w:color w:val="auto"/>
          <w:sz w:val="28"/>
          <w:szCs w:val="28"/>
          <w:vertAlign w:val="superscript"/>
        </w:rPr>
        <w:t>3</w:t>
      </w:r>
      <w:r>
        <w:rPr>
          <w:rFonts w:hint="eastAsia" w:cstheme="majorEastAsia"/>
          <w:color w:val="auto"/>
          <w:sz w:val="28"/>
          <w:szCs w:val="28"/>
        </w:rPr>
        <w:t>，2号砂轮锯+布袋除尘器排气筒P</w:t>
      </w:r>
      <w:r>
        <w:rPr>
          <w:rFonts w:hint="eastAsia" w:cstheme="majorEastAsia"/>
          <w:color w:val="auto"/>
          <w:sz w:val="28"/>
          <w:szCs w:val="28"/>
          <w:vertAlign w:val="subscript"/>
        </w:rPr>
        <w:t>6</w:t>
      </w:r>
      <w:r>
        <w:rPr>
          <w:rFonts w:hint="eastAsia" w:cstheme="majorEastAsia"/>
          <w:color w:val="auto"/>
          <w:sz w:val="28"/>
          <w:szCs w:val="28"/>
        </w:rPr>
        <w:t>采样口颗粒物两天浓度最大值为4.7mg/m</w:t>
      </w:r>
      <w:r>
        <w:rPr>
          <w:rFonts w:hint="eastAsia" w:cstheme="majorEastAsia"/>
          <w:color w:val="auto"/>
          <w:sz w:val="28"/>
          <w:szCs w:val="28"/>
          <w:vertAlign w:val="superscript"/>
        </w:rPr>
        <w:t>3</w:t>
      </w:r>
      <w:r>
        <w:rPr>
          <w:rFonts w:hint="eastAsia" w:cstheme="majorEastAsia"/>
          <w:color w:val="auto"/>
          <w:sz w:val="28"/>
          <w:szCs w:val="28"/>
        </w:rPr>
        <w:t>，满足《区域性大气污染物综合排放标准》（DB37/ 2376-2019）表1大气污染物排放浓度限值重点控制区要求，也满足《山东省钢铁工业污染物排放标准》（DB37/990-2013）表1山东省钢铁工业大气污染物排放浓度限值要求。2号砂轮锯布袋除尘颗粒物的去除效率为99.6%。</w:t>
      </w:r>
    </w:p>
    <w:p>
      <w:pPr>
        <w:spacing w:line="360" w:lineRule="auto"/>
        <w:ind w:firstLine="840" w:firstLineChars="300"/>
        <w:rPr>
          <w:rFonts w:hint="eastAsia" w:eastAsia="宋体"/>
          <w:color w:val="auto"/>
          <w:sz w:val="28"/>
          <w:szCs w:val="28"/>
          <w:lang w:eastAsia="zh-CN"/>
        </w:rPr>
      </w:pPr>
      <w:r>
        <w:rPr>
          <w:rFonts w:hint="eastAsia" w:cstheme="majorEastAsia"/>
          <w:color w:val="auto"/>
          <w:sz w:val="28"/>
          <w:szCs w:val="28"/>
        </w:rPr>
        <w:t>3号砂轮锯+布袋除尘器进口颗粒物两天浓度最大值为1056mg/m</w:t>
      </w:r>
      <w:r>
        <w:rPr>
          <w:rFonts w:hint="eastAsia" w:cstheme="majorEastAsia"/>
          <w:color w:val="auto"/>
          <w:sz w:val="28"/>
          <w:szCs w:val="28"/>
          <w:vertAlign w:val="superscript"/>
        </w:rPr>
        <w:t>3</w:t>
      </w:r>
      <w:r>
        <w:rPr>
          <w:rFonts w:hint="eastAsia" w:cstheme="majorEastAsia"/>
          <w:color w:val="auto"/>
          <w:sz w:val="28"/>
          <w:szCs w:val="28"/>
        </w:rPr>
        <w:t>，3号砂轮锯+布袋除尘器排气筒P7采样口颗粒物两天浓度最大值为4.5mg/m</w:t>
      </w:r>
      <w:r>
        <w:rPr>
          <w:rFonts w:hint="eastAsia" w:cstheme="majorEastAsia"/>
          <w:color w:val="auto"/>
          <w:sz w:val="28"/>
          <w:szCs w:val="28"/>
          <w:vertAlign w:val="superscript"/>
        </w:rPr>
        <w:t>3</w:t>
      </w:r>
      <w:r>
        <w:rPr>
          <w:rFonts w:hint="eastAsia" w:cstheme="majorEastAsia"/>
          <w:color w:val="auto"/>
          <w:sz w:val="28"/>
          <w:szCs w:val="28"/>
        </w:rPr>
        <w:t>，满足《区域性大气污染物综合排放标准》（DB37/ 2376-2019）表1大气污染物排放浓度限值重点控制区要求，也满足《山东省钢铁工业污染物排放标准》（DB37/990-2013）表1山东省钢铁工业大气污染物排放浓度限值要求，3号砂轮锯布袋除尘颗粒物的去除效率为99.6%</w:t>
      </w:r>
      <w:r>
        <w:rPr>
          <w:rFonts w:hint="eastAsia" w:cstheme="majorEastAsia"/>
          <w:color w:val="auto"/>
          <w:sz w:val="28"/>
          <w:szCs w:val="28"/>
          <w:lang w:eastAsia="zh-CN"/>
        </w:rPr>
        <w:t>。</w:t>
      </w:r>
    </w:p>
    <w:p>
      <w:pPr>
        <w:spacing w:line="360" w:lineRule="auto"/>
        <w:ind w:firstLine="840" w:firstLineChars="300"/>
        <w:rPr>
          <w:rFonts w:cstheme="majorEastAsia"/>
          <w:color w:val="auto"/>
          <w:sz w:val="28"/>
          <w:szCs w:val="28"/>
        </w:rPr>
      </w:pPr>
      <w:r>
        <w:rPr>
          <w:rFonts w:hint="eastAsia" w:cstheme="majorEastAsia"/>
          <w:color w:val="auto"/>
          <w:sz w:val="28"/>
          <w:szCs w:val="28"/>
        </w:rPr>
        <w:t>无组织排放废气颗粒物最大实测浓度为0.400mg/m</w:t>
      </w:r>
      <w:r>
        <w:rPr>
          <w:rFonts w:hint="eastAsia" w:cstheme="majorEastAsia"/>
          <w:color w:val="auto"/>
          <w:sz w:val="28"/>
          <w:szCs w:val="28"/>
          <w:vertAlign w:val="superscript"/>
        </w:rPr>
        <w:t>3</w:t>
      </w:r>
      <w:r>
        <w:rPr>
          <w:rFonts w:hint="eastAsia" w:cstheme="majorEastAsia"/>
          <w:color w:val="auto"/>
          <w:sz w:val="28"/>
          <w:szCs w:val="28"/>
        </w:rPr>
        <w:t>，满足《大气污染物综合排放标准》（GB16297-1996）表2中无组织排放监控浓度限值要求。</w:t>
      </w:r>
      <w:r>
        <w:rPr>
          <w:rFonts w:hint="eastAsia"/>
          <w:color w:val="auto"/>
          <w:sz w:val="28"/>
          <w:szCs w:val="28"/>
        </w:rPr>
        <w:t xml:space="preserve"> </w:t>
      </w:r>
    </w:p>
    <w:p>
      <w:pPr>
        <w:pStyle w:val="2"/>
        <w:spacing w:line="360" w:lineRule="auto"/>
        <w:ind w:firstLine="843" w:firstLineChars="300"/>
        <w:rPr>
          <w:rFonts w:eastAsia="宋体" w:cstheme="majorEastAsia"/>
          <w:color w:val="auto"/>
          <w:szCs w:val="28"/>
        </w:rPr>
      </w:pPr>
      <w:r>
        <w:rPr>
          <w:rFonts w:hint="eastAsia" w:eastAsia="宋体" w:cstheme="majorEastAsia"/>
          <w:b/>
          <w:bCs/>
          <w:color w:val="auto"/>
          <w:spacing w:val="0"/>
          <w:szCs w:val="28"/>
        </w:rPr>
        <w:t>3、噪声</w:t>
      </w:r>
    </w:p>
    <w:p>
      <w:pPr>
        <w:pStyle w:val="2"/>
        <w:spacing w:line="360" w:lineRule="auto"/>
        <w:ind w:firstLine="560"/>
        <w:rPr>
          <w:rFonts w:eastAsia="宋体" w:cstheme="majorEastAsia"/>
          <w:color w:val="auto"/>
          <w:spacing w:val="0"/>
          <w:szCs w:val="28"/>
        </w:rPr>
      </w:pPr>
      <w:r>
        <w:rPr>
          <w:rFonts w:hint="eastAsia" w:eastAsia="宋体" w:cstheme="majorEastAsia"/>
          <w:color w:val="auto"/>
          <w:spacing w:val="0"/>
          <w:szCs w:val="28"/>
        </w:rPr>
        <w:t>项目厂界各监测点位昼间噪声最大值为59dB（A)，夜间噪声最大值54dB（A)，厂界噪声昼夜测量值均满足《工业企业厂界环境噪声排放标准》（GB12348-2008）中3类区标准要求.</w:t>
      </w:r>
    </w:p>
    <w:p>
      <w:pPr>
        <w:pStyle w:val="2"/>
        <w:spacing w:line="360" w:lineRule="auto"/>
        <w:ind w:firstLine="562"/>
        <w:rPr>
          <w:rFonts w:eastAsia="宋体" w:cstheme="majorEastAsia"/>
          <w:b/>
          <w:bCs/>
          <w:color w:val="auto"/>
          <w:spacing w:val="0"/>
          <w:szCs w:val="28"/>
        </w:rPr>
      </w:pPr>
      <w:r>
        <w:rPr>
          <w:rFonts w:hint="eastAsia" w:eastAsia="宋体" w:cstheme="majorEastAsia"/>
          <w:b/>
          <w:bCs/>
          <w:color w:val="auto"/>
          <w:spacing w:val="0"/>
          <w:szCs w:val="28"/>
        </w:rPr>
        <w:t>4、固废</w:t>
      </w:r>
    </w:p>
    <w:p>
      <w:pPr>
        <w:pStyle w:val="2"/>
        <w:spacing w:line="360" w:lineRule="auto"/>
        <w:ind w:firstLine="0" w:firstLineChars="0"/>
        <w:rPr>
          <w:rFonts w:eastAsia="宋体" w:cstheme="majorEastAsia"/>
          <w:b/>
          <w:bCs/>
          <w:color w:val="auto"/>
          <w:spacing w:val="0"/>
          <w:szCs w:val="28"/>
        </w:rPr>
      </w:pPr>
      <w:r>
        <w:rPr>
          <w:rFonts w:hint="eastAsia" w:eastAsia="宋体" w:cstheme="majorEastAsia"/>
          <w:b/>
          <w:bCs/>
          <w:color w:val="auto"/>
          <w:spacing w:val="0"/>
          <w:szCs w:val="28"/>
        </w:rPr>
        <w:t xml:space="preserve">      </w:t>
      </w:r>
      <w:r>
        <w:rPr>
          <w:rFonts w:hint="eastAsia" w:eastAsia="宋体" w:cstheme="majorEastAsia"/>
          <w:color w:val="auto"/>
          <w:spacing w:val="0"/>
          <w:szCs w:val="28"/>
        </w:rPr>
        <w:t>项目固废得到妥善处置，不会对环境造成不良影响。</w:t>
      </w:r>
    </w:p>
    <w:p>
      <w:pPr>
        <w:pStyle w:val="8"/>
        <w:numPr>
          <w:ilvl w:val="0"/>
          <w:numId w:val="2"/>
        </w:numPr>
        <w:spacing w:line="360" w:lineRule="auto"/>
        <w:ind w:firstLine="562" w:firstLineChars="200"/>
        <w:rPr>
          <w:rFonts w:ascii="Times New Roman" w:hAnsi="Times New Roman" w:cstheme="majorEastAsia"/>
          <w:b/>
          <w:bCs/>
          <w:color w:val="auto"/>
          <w:sz w:val="28"/>
          <w:szCs w:val="28"/>
        </w:rPr>
      </w:pPr>
      <w:r>
        <w:rPr>
          <w:rFonts w:hint="eastAsia" w:ascii="Times New Roman" w:hAnsi="Times New Roman" w:cstheme="majorEastAsia"/>
          <w:b/>
          <w:bCs/>
          <w:color w:val="auto"/>
          <w:sz w:val="28"/>
          <w:szCs w:val="28"/>
        </w:rPr>
        <w:t>总量控制</w:t>
      </w:r>
    </w:p>
    <w:p>
      <w:pPr>
        <w:spacing w:line="360" w:lineRule="auto"/>
        <w:ind w:firstLine="560" w:firstLineChars="200"/>
        <w:contextualSpacing/>
        <w:rPr>
          <w:color w:val="auto"/>
          <w:sz w:val="24"/>
        </w:rPr>
      </w:pPr>
      <w:r>
        <w:rPr>
          <w:rFonts w:hint="eastAsia" w:cstheme="majorEastAsia"/>
          <w:color w:val="auto"/>
          <w:sz w:val="28"/>
          <w:szCs w:val="28"/>
        </w:rPr>
        <w:t>二氧化硫的年排放量为11.18t/a、氮氧化物的年排放量为11.33t/a，满足该项目污染物总量(二氧化硫年排放量52.7t/a，氮氧化物的年排放量为76.6t/a)要求。</w:t>
      </w:r>
    </w:p>
    <w:p>
      <w:pPr>
        <w:pStyle w:val="8"/>
        <w:spacing w:line="360" w:lineRule="auto"/>
        <w:ind w:firstLine="562" w:firstLineChars="200"/>
        <w:rPr>
          <w:rFonts w:ascii="Times New Roman" w:hAnsi="Times New Roman" w:cstheme="majorEastAsia"/>
          <w:b/>
          <w:color w:val="auto"/>
          <w:kern w:val="0"/>
          <w:sz w:val="28"/>
          <w:szCs w:val="28"/>
        </w:rPr>
      </w:pPr>
      <w:r>
        <w:rPr>
          <w:rFonts w:hint="eastAsia" w:ascii="Times New Roman" w:hAnsi="Times New Roman" w:cstheme="majorEastAsia"/>
          <w:b/>
          <w:color w:val="auto"/>
          <w:sz w:val="28"/>
          <w:szCs w:val="28"/>
        </w:rPr>
        <w:t>六、</w:t>
      </w:r>
      <w:r>
        <w:rPr>
          <w:rFonts w:hint="eastAsia" w:ascii="Times New Roman" w:hAnsi="Times New Roman" w:cstheme="majorEastAsia"/>
          <w:b/>
          <w:color w:val="auto"/>
          <w:kern w:val="0"/>
          <w:sz w:val="28"/>
          <w:szCs w:val="28"/>
        </w:rPr>
        <w:t>排污许可证申请及核发情况</w:t>
      </w:r>
    </w:p>
    <w:p>
      <w:pPr>
        <w:pStyle w:val="8"/>
        <w:spacing w:line="360" w:lineRule="auto"/>
        <w:ind w:firstLine="560" w:firstLineChars="200"/>
        <w:rPr>
          <w:rFonts w:ascii="Times New Roman" w:hAnsi="Times New Roman" w:cstheme="majorEastAsia"/>
          <w:color w:val="auto"/>
          <w:sz w:val="28"/>
          <w:szCs w:val="28"/>
        </w:rPr>
      </w:pPr>
      <w:r>
        <w:rPr>
          <w:rFonts w:hint="eastAsia" w:ascii="Times New Roman" w:hAnsi="Times New Roman" w:cstheme="majorEastAsia"/>
          <w:color w:val="auto"/>
          <w:sz w:val="28"/>
          <w:szCs w:val="28"/>
        </w:rPr>
        <w:t>按照《固定污染源排污许可分类管理名录》（环境部令第45号）要求，公司正在申领排污许可证，目前暂未批准。</w:t>
      </w:r>
    </w:p>
    <w:p>
      <w:pPr>
        <w:pStyle w:val="34"/>
        <w:snapToGrid w:val="0"/>
        <w:spacing w:beforeAutospacing="0" w:afterAutospacing="0" w:line="360" w:lineRule="auto"/>
        <w:ind w:firstLine="562" w:firstLineChars="200"/>
        <w:outlineLvl w:val="0"/>
        <w:rPr>
          <w:rFonts w:ascii="Times New Roman" w:hAnsi="Times New Roman" w:cstheme="majorEastAsia"/>
          <w:b/>
          <w:color w:val="auto"/>
          <w:sz w:val="28"/>
          <w:szCs w:val="28"/>
        </w:rPr>
      </w:pPr>
      <w:r>
        <w:rPr>
          <w:rFonts w:hint="eastAsia" w:ascii="Times New Roman" w:hAnsi="Times New Roman" w:cstheme="majorEastAsia"/>
          <w:b/>
          <w:color w:val="auto"/>
          <w:sz w:val="28"/>
          <w:szCs w:val="28"/>
        </w:rPr>
        <w:t>六、工程建设对环境的影响</w:t>
      </w:r>
    </w:p>
    <w:p>
      <w:pPr>
        <w:pStyle w:val="8"/>
        <w:spacing w:line="360" w:lineRule="auto"/>
        <w:ind w:firstLine="560" w:firstLineChars="200"/>
        <w:rPr>
          <w:rFonts w:ascii="Times New Roman" w:hAnsi="Times New Roman" w:cstheme="majorEastAsia"/>
          <w:color w:val="auto"/>
          <w:sz w:val="28"/>
          <w:szCs w:val="28"/>
        </w:rPr>
      </w:pPr>
      <w:r>
        <w:rPr>
          <w:rFonts w:hint="eastAsia" w:ascii="Times New Roman" w:hAnsi="Times New Roman" w:cstheme="majorEastAsia"/>
          <w:color w:val="auto"/>
          <w:sz w:val="28"/>
          <w:szCs w:val="28"/>
        </w:rPr>
        <w:t>该项目废气经处理后达到行业标准及环大气（2019）35号文的排放要求，固废资源化利用、危废规范储存或处置。项目建设、运营对周边环境影响较小。噪声超标。</w:t>
      </w:r>
    </w:p>
    <w:p>
      <w:pPr>
        <w:pStyle w:val="34"/>
        <w:spacing w:beforeAutospacing="0" w:afterAutospacing="0" w:line="360" w:lineRule="auto"/>
        <w:ind w:firstLine="562" w:firstLineChars="200"/>
        <w:outlineLvl w:val="0"/>
        <w:rPr>
          <w:rFonts w:ascii="Times New Roman" w:hAnsi="Times New Roman" w:cstheme="majorEastAsia"/>
          <w:b/>
          <w:color w:val="auto"/>
          <w:sz w:val="28"/>
          <w:szCs w:val="28"/>
        </w:rPr>
      </w:pPr>
      <w:r>
        <w:rPr>
          <w:rFonts w:hint="eastAsia" w:ascii="Times New Roman" w:hAnsi="Times New Roman" w:cstheme="majorEastAsia"/>
          <w:b/>
          <w:color w:val="auto"/>
          <w:sz w:val="28"/>
          <w:szCs w:val="28"/>
        </w:rPr>
        <w:t>七、验收结论</w:t>
      </w:r>
    </w:p>
    <w:p>
      <w:pPr>
        <w:pStyle w:val="8"/>
        <w:spacing w:line="360" w:lineRule="auto"/>
        <w:ind w:firstLine="560" w:firstLineChars="200"/>
        <w:rPr>
          <w:rFonts w:ascii="Times New Roman" w:hAnsi="Times New Roman" w:cstheme="majorEastAsia"/>
          <w:color w:val="auto"/>
          <w:sz w:val="28"/>
          <w:szCs w:val="28"/>
        </w:rPr>
      </w:pPr>
      <w:r>
        <w:rPr>
          <w:rFonts w:hint="eastAsia" w:ascii="Times New Roman" w:hAnsi="Times New Roman" w:cstheme="majorEastAsia"/>
          <w:color w:val="auto"/>
          <w:sz w:val="28"/>
          <w:szCs w:val="28"/>
        </w:rPr>
        <w:t>项目实施过程中按照环评、批复及环保要求落实了相关环保措施，建立了相应的环保管理制度和环境风险防范措施，污染物排放达到国家相关排放标准，项目竣工环境保护验收合格。</w:t>
      </w:r>
    </w:p>
    <w:p>
      <w:pPr>
        <w:pStyle w:val="34"/>
        <w:spacing w:beforeAutospacing="0" w:afterAutospacing="0" w:line="360" w:lineRule="auto"/>
        <w:ind w:firstLine="562" w:firstLineChars="200"/>
        <w:outlineLvl w:val="0"/>
        <w:rPr>
          <w:rFonts w:ascii="Times New Roman" w:hAnsi="Times New Roman" w:cstheme="majorEastAsia"/>
          <w:b/>
          <w:color w:val="auto"/>
          <w:sz w:val="28"/>
          <w:szCs w:val="28"/>
        </w:rPr>
      </w:pPr>
      <w:r>
        <w:rPr>
          <w:rFonts w:hint="eastAsia" w:ascii="Times New Roman" w:hAnsi="Times New Roman" w:cstheme="majorEastAsia"/>
          <w:b/>
          <w:color w:val="auto"/>
          <w:sz w:val="28"/>
          <w:szCs w:val="28"/>
        </w:rPr>
        <w:t>八、后续要求</w:t>
      </w:r>
    </w:p>
    <w:p>
      <w:pPr>
        <w:autoSpaceDE w:val="0"/>
        <w:autoSpaceDN w:val="0"/>
        <w:adjustRightInd w:val="0"/>
        <w:spacing w:line="360" w:lineRule="auto"/>
        <w:ind w:right="25" w:rightChars="12" w:firstLine="697" w:firstLineChars="249"/>
        <w:rPr>
          <w:rFonts w:cstheme="majorEastAsia"/>
          <w:color w:val="auto"/>
          <w:sz w:val="28"/>
          <w:szCs w:val="28"/>
        </w:rPr>
      </w:pPr>
      <w:r>
        <w:rPr>
          <w:rFonts w:hint="eastAsia" w:cstheme="majorEastAsia"/>
          <w:color w:val="auto"/>
          <w:sz w:val="28"/>
          <w:szCs w:val="28"/>
        </w:rPr>
        <w:t>1、按照《排污单位自行监测技术指南总则》(HJ819-2017)，核实完善环境监测计划，定期对污染源的排污状况进行监测。</w:t>
      </w:r>
    </w:p>
    <w:p>
      <w:pPr>
        <w:pStyle w:val="8"/>
        <w:spacing w:line="360" w:lineRule="auto"/>
        <w:ind w:firstLine="560"/>
        <w:rPr>
          <w:rFonts w:ascii="Times New Roman" w:hAnsi="Times New Roman" w:cstheme="majorEastAsia"/>
          <w:color w:val="auto"/>
          <w:sz w:val="28"/>
          <w:szCs w:val="28"/>
        </w:rPr>
      </w:pPr>
      <w:r>
        <w:rPr>
          <w:rFonts w:hint="eastAsia" w:ascii="Times New Roman" w:hAnsi="Times New Roman" w:cstheme="majorEastAsia"/>
          <w:color w:val="auto"/>
          <w:sz w:val="28"/>
          <w:szCs w:val="28"/>
        </w:rPr>
        <w:t>2、加强各类环保设施的日常维护和管理，确保环保设施正常运转，确保废气、废水、噪声稳定达标排放；如遇环保设施检修、停运等情况，要及时向当地环保部门报告，并如实记录备查。</w:t>
      </w:r>
    </w:p>
    <w:p>
      <w:pPr>
        <w:pStyle w:val="8"/>
        <w:spacing w:line="360" w:lineRule="auto"/>
        <w:ind w:firstLine="560" w:firstLineChars="200"/>
        <w:rPr>
          <w:rFonts w:ascii="Times New Roman" w:hAnsi="Times New Roman" w:cstheme="majorEastAsia"/>
          <w:color w:val="auto"/>
          <w:sz w:val="28"/>
          <w:szCs w:val="28"/>
        </w:rPr>
      </w:pPr>
      <w:r>
        <w:rPr>
          <w:rFonts w:hint="eastAsia" w:ascii="Times New Roman" w:hAnsi="Times New Roman" w:cstheme="majorEastAsia"/>
          <w:color w:val="auto"/>
          <w:sz w:val="28"/>
          <w:szCs w:val="28"/>
        </w:rPr>
        <w:t>3、按关于发布《建设项目竣工环境保护验收暂行办法》的公告（国环规环评[2017]4号）的规定及其他法规要求，固废环保设施经主管环保部门验收后，项目可正式投入生产运行。</w:t>
      </w:r>
    </w:p>
    <w:p>
      <w:pPr>
        <w:pStyle w:val="21"/>
        <w:spacing w:line="360" w:lineRule="auto"/>
        <w:ind w:firstLine="562" w:firstLineChars="200"/>
        <w:jc w:val="both"/>
        <w:rPr>
          <w:rFonts w:ascii="Times New Roman" w:hAnsi="Times New Roman" w:cstheme="majorEastAsia"/>
          <w:b/>
          <w:bCs/>
          <w:color w:val="auto"/>
          <w:sz w:val="28"/>
          <w:szCs w:val="28"/>
        </w:rPr>
      </w:pPr>
      <w:r>
        <w:rPr>
          <w:rFonts w:hint="eastAsia" w:ascii="Times New Roman" w:hAnsi="Times New Roman" w:cstheme="majorEastAsia"/>
          <w:b/>
          <w:bCs/>
          <w:color w:val="auto"/>
          <w:sz w:val="28"/>
          <w:szCs w:val="28"/>
        </w:rPr>
        <w:t>九、验收人员信息</w:t>
      </w:r>
    </w:p>
    <w:p>
      <w:pPr>
        <w:spacing w:line="360" w:lineRule="auto"/>
        <w:ind w:firstLine="560" w:firstLineChars="200"/>
        <w:rPr>
          <w:rFonts w:cstheme="majorEastAsia"/>
          <w:color w:val="auto"/>
          <w:sz w:val="28"/>
          <w:szCs w:val="28"/>
        </w:rPr>
      </w:pPr>
      <w:r>
        <w:rPr>
          <w:rFonts w:hint="eastAsia" w:cstheme="majorEastAsia"/>
          <w:color w:val="auto"/>
          <w:sz w:val="28"/>
          <w:szCs w:val="28"/>
        </w:rPr>
        <w:t>验收人员信息见附表</w:t>
      </w:r>
      <w:r>
        <w:rPr>
          <w:rFonts w:hint="eastAsia"/>
          <w:color w:val="auto"/>
          <w:sz w:val="28"/>
          <w:szCs w:val="28"/>
        </w:rPr>
        <w:t>山东寿光巨能特钢有限公司高品质特钢精整生产线项目</w:t>
      </w:r>
      <w:r>
        <w:rPr>
          <w:rFonts w:hint="eastAsia" w:cstheme="majorEastAsia"/>
          <w:color w:val="auto"/>
          <w:sz w:val="28"/>
          <w:szCs w:val="28"/>
        </w:rPr>
        <w:t xml:space="preserve">验收组成员名单 。          </w:t>
      </w:r>
    </w:p>
    <w:p>
      <w:pPr>
        <w:spacing w:line="360" w:lineRule="auto"/>
        <w:jc w:val="center"/>
        <w:rPr>
          <w:rFonts w:cstheme="majorEastAsia"/>
          <w:color w:val="auto"/>
          <w:sz w:val="28"/>
          <w:szCs w:val="28"/>
        </w:rPr>
      </w:pPr>
    </w:p>
    <w:p>
      <w:pPr>
        <w:spacing w:line="360" w:lineRule="auto"/>
        <w:rPr>
          <w:rFonts w:cstheme="majorEastAsia"/>
          <w:color w:val="auto"/>
          <w:sz w:val="28"/>
          <w:szCs w:val="28"/>
        </w:rPr>
      </w:pPr>
      <w:r>
        <w:rPr>
          <w:rFonts w:hint="eastAsia" w:cstheme="majorEastAsia"/>
          <w:color w:val="auto"/>
          <w:sz w:val="28"/>
          <w:szCs w:val="28"/>
        </w:rPr>
        <w:t xml:space="preserve">                                              </w:t>
      </w:r>
      <w:r>
        <w:rPr>
          <w:rFonts w:hint="eastAsia"/>
          <w:color w:val="auto"/>
          <w:sz w:val="28"/>
          <w:szCs w:val="28"/>
        </w:rPr>
        <w:t>项目组</w:t>
      </w:r>
    </w:p>
    <w:p>
      <w:pPr>
        <w:spacing w:line="360" w:lineRule="auto"/>
        <w:jc w:val="center"/>
        <w:rPr>
          <w:rFonts w:cstheme="majorEastAsia"/>
          <w:color w:val="auto"/>
          <w:sz w:val="28"/>
          <w:szCs w:val="28"/>
        </w:rPr>
      </w:pPr>
      <w:r>
        <w:rPr>
          <w:rFonts w:hint="eastAsia" w:cstheme="majorEastAsia"/>
          <w:color w:val="auto"/>
          <w:sz w:val="28"/>
          <w:szCs w:val="28"/>
        </w:rPr>
        <w:t xml:space="preserve">                                 </w:t>
      </w:r>
      <w:r>
        <w:rPr>
          <w:rFonts w:hint="eastAsia" w:cstheme="majorEastAsia"/>
          <w:color w:val="auto"/>
          <w:kern w:val="0"/>
          <w:sz w:val="28"/>
          <w:szCs w:val="28"/>
        </w:rPr>
        <w:t>2020年3月24日</w:t>
      </w:r>
    </w:p>
    <w:p>
      <w:pPr>
        <w:spacing w:line="360" w:lineRule="auto"/>
        <w:rPr>
          <w:rFonts w:cstheme="majorEastAsia"/>
          <w:color w:val="auto"/>
          <w:sz w:val="28"/>
          <w:szCs w:val="28"/>
        </w:rPr>
      </w:pPr>
    </w:p>
    <w:p>
      <w:pPr>
        <w:pStyle w:val="14"/>
        <w:spacing w:line="360" w:lineRule="auto"/>
        <w:rPr>
          <w:rFonts w:cstheme="majorEastAsia"/>
          <w:color w:val="auto"/>
          <w:sz w:val="28"/>
          <w:szCs w:val="28"/>
        </w:rPr>
      </w:pPr>
    </w:p>
    <w:p>
      <w:pPr>
        <w:rPr>
          <w:color w:val="auto"/>
        </w:rPr>
      </w:pPr>
    </w:p>
    <w:p>
      <w:pPr>
        <w:rPr>
          <w:color w:val="auto"/>
        </w:rPr>
      </w:pPr>
    </w:p>
    <w:p>
      <w:pPr>
        <w:spacing w:line="460" w:lineRule="exact"/>
        <w:jc w:val="center"/>
        <w:rPr>
          <w:rFonts w:cs="黑体"/>
          <w:b/>
          <w:bCs/>
          <w:color w:val="auto"/>
          <w:kern w:val="0"/>
          <w:sz w:val="30"/>
          <w:szCs w:val="30"/>
        </w:rPr>
      </w:pPr>
    </w:p>
    <w:p>
      <w:pPr>
        <w:pStyle w:val="21"/>
        <w:rPr>
          <w:rFonts w:ascii="Times New Roman" w:hAnsi="Times New Roman"/>
          <w:color w:val="auto"/>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B9272"/>
    <w:multiLevelType w:val="singleLevel"/>
    <w:tmpl w:val="4BCB9272"/>
    <w:lvl w:ilvl="0" w:tentative="0">
      <w:start w:val="2"/>
      <w:numFmt w:val="chineseCounting"/>
      <w:suff w:val="nothing"/>
      <w:lvlText w:val="%1、"/>
      <w:lvlJc w:val="left"/>
      <w:rPr>
        <w:rFonts w:hint="eastAsia"/>
      </w:rPr>
    </w:lvl>
  </w:abstractNum>
  <w:abstractNum w:abstractNumId="1">
    <w:nsid w:val="68DB94BB"/>
    <w:multiLevelType w:val="singleLevel"/>
    <w:tmpl w:val="68DB94BB"/>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21A44"/>
    <w:rsid w:val="000045FB"/>
    <w:rsid w:val="000121ED"/>
    <w:rsid w:val="00032A1F"/>
    <w:rsid w:val="00045613"/>
    <w:rsid w:val="00072AA7"/>
    <w:rsid w:val="00083444"/>
    <w:rsid w:val="0009516C"/>
    <w:rsid w:val="000A6DB6"/>
    <w:rsid w:val="000B245F"/>
    <w:rsid w:val="000E4430"/>
    <w:rsid w:val="001134E1"/>
    <w:rsid w:val="001427E5"/>
    <w:rsid w:val="001453EC"/>
    <w:rsid w:val="00153E0E"/>
    <w:rsid w:val="0016727A"/>
    <w:rsid w:val="00192DB3"/>
    <w:rsid w:val="001B1F59"/>
    <w:rsid w:val="001B5F75"/>
    <w:rsid w:val="001C28D2"/>
    <w:rsid w:val="001D653A"/>
    <w:rsid w:val="001F19C2"/>
    <w:rsid w:val="001F6DE9"/>
    <w:rsid w:val="002151C0"/>
    <w:rsid w:val="002236E5"/>
    <w:rsid w:val="00235C52"/>
    <w:rsid w:val="0023719B"/>
    <w:rsid w:val="00274ABA"/>
    <w:rsid w:val="002931C0"/>
    <w:rsid w:val="00297FD2"/>
    <w:rsid w:val="002A5BC6"/>
    <w:rsid w:val="002B6B23"/>
    <w:rsid w:val="002C23C4"/>
    <w:rsid w:val="002D2F0B"/>
    <w:rsid w:val="002F23AD"/>
    <w:rsid w:val="002F5551"/>
    <w:rsid w:val="002F68DD"/>
    <w:rsid w:val="00301EF4"/>
    <w:rsid w:val="00310826"/>
    <w:rsid w:val="00327F9D"/>
    <w:rsid w:val="00342E22"/>
    <w:rsid w:val="00350B54"/>
    <w:rsid w:val="003A0547"/>
    <w:rsid w:val="003A5A90"/>
    <w:rsid w:val="003A715F"/>
    <w:rsid w:val="003B0467"/>
    <w:rsid w:val="003B3E52"/>
    <w:rsid w:val="003C5E77"/>
    <w:rsid w:val="003D2A4E"/>
    <w:rsid w:val="003F12C3"/>
    <w:rsid w:val="003F1367"/>
    <w:rsid w:val="00405E35"/>
    <w:rsid w:val="00412F32"/>
    <w:rsid w:val="004242CF"/>
    <w:rsid w:val="00426277"/>
    <w:rsid w:val="00434A07"/>
    <w:rsid w:val="004402E0"/>
    <w:rsid w:val="00446D5B"/>
    <w:rsid w:val="00446E7E"/>
    <w:rsid w:val="00462A03"/>
    <w:rsid w:val="00491BEA"/>
    <w:rsid w:val="00494C1E"/>
    <w:rsid w:val="004B45AB"/>
    <w:rsid w:val="004C528A"/>
    <w:rsid w:val="004D564F"/>
    <w:rsid w:val="004F5478"/>
    <w:rsid w:val="0050706C"/>
    <w:rsid w:val="005117E3"/>
    <w:rsid w:val="005139AB"/>
    <w:rsid w:val="00527AEB"/>
    <w:rsid w:val="0053002A"/>
    <w:rsid w:val="0053128A"/>
    <w:rsid w:val="005349FB"/>
    <w:rsid w:val="00535599"/>
    <w:rsid w:val="00541E6F"/>
    <w:rsid w:val="005723E3"/>
    <w:rsid w:val="00582B22"/>
    <w:rsid w:val="005905D2"/>
    <w:rsid w:val="00593010"/>
    <w:rsid w:val="005A4668"/>
    <w:rsid w:val="005B277B"/>
    <w:rsid w:val="005B62CE"/>
    <w:rsid w:val="005C1606"/>
    <w:rsid w:val="005E047E"/>
    <w:rsid w:val="005E12F2"/>
    <w:rsid w:val="00613C12"/>
    <w:rsid w:val="006271AC"/>
    <w:rsid w:val="0065313D"/>
    <w:rsid w:val="006B75FD"/>
    <w:rsid w:val="006C03E0"/>
    <w:rsid w:val="006C0ED2"/>
    <w:rsid w:val="006F0F6A"/>
    <w:rsid w:val="00702CAB"/>
    <w:rsid w:val="00732B20"/>
    <w:rsid w:val="007349EA"/>
    <w:rsid w:val="00737690"/>
    <w:rsid w:val="0075173C"/>
    <w:rsid w:val="00772C5A"/>
    <w:rsid w:val="007879A1"/>
    <w:rsid w:val="007B00B2"/>
    <w:rsid w:val="007B26F5"/>
    <w:rsid w:val="007C2A51"/>
    <w:rsid w:val="007C30D7"/>
    <w:rsid w:val="007D0C01"/>
    <w:rsid w:val="007E1C2F"/>
    <w:rsid w:val="007E758C"/>
    <w:rsid w:val="00816629"/>
    <w:rsid w:val="008422CE"/>
    <w:rsid w:val="00845F1D"/>
    <w:rsid w:val="008717BE"/>
    <w:rsid w:val="008728FF"/>
    <w:rsid w:val="00891E52"/>
    <w:rsid w:val="008B5DCD"/>
    <w:rsid w:val="008C74B9"/>
    <w:rsid w:val="008E291B"/>
    <w:rsid w:val="008F1717"/>
    <w:rsid w:val="008F59AB"/>
    <w:rsid w:val="008F6065"/>
    <w:rsid w:val="00900DDE"/>
    <w:rsid w:val="009505A6"/>
    <w:rsid w:val="00957A02"/>
    <w:rsid w:val="00992B6F"/>
    <w:rsid w:val="00992EC0"/>
    <w:rsid w:val="009A0A22"/>
    <w:rsid w:val="009A0D4E"/>
    <w:rsid w:val="009C4B59"/>
    <w:rsid w:val="009C7F83"/>
    <w:rsid w:val="009D456A"/>
    <w:rsid w:val="009D5B67"/>
    <w:rsid w:val="009D6B63"/>
    <w:rsid w:val="009F05EB"/>
    <w:rsid w:val="00A12429"/>
    <w:rsid w:val="00A30E68"/>
    <w:rsid w:val="00A4101B"/>
    <w:rsid w:val="00A54AAE"/>
    <w:rsid w:val="00A82531"/>
    <w:rsid w:val="00A8616D"/>
    <w:rsid w:val="00AA049D"/>
    <w:rsid w:val="00AD3FA0"/>
    <w:rsid w:val="00AE2663"/>
    <w:rsid w:val="00AF0785"/>
    <w:rsid w:val="00B03EE7"/>
    <w:rsid w:val="00B23342"/>
    <w:rsid w:val="00B27FEC"/>
    <w:rsid w:val="00B5043C"/>
    <w:rsid w:val="00B55070"/>
    <w:rsid w:val="00B70C5E"/>
    <w:rsid w:val="00B83B62"/>
    <w:rsid w:val="00B9037D"/>
    <w:rsid w:val="00BB5266"/>
    <w:rsid w:val="00BC00F4"/>
    <w:rsid w:val="00BD6FA1"/>
    <w:rsid w:val="00BF06FF"/>
    <w:rsid w:val="00C20389"/>
    <w:rsid w:val="00C22013"/>
    <w:rsid w:val="00C2220A"/>
    <w:rsid w:val="00C24AB5"/>
    <w:rsid w:val="00C25AEB"/>
    <w:rsid w:val="00C51B5E"/>
    <w:rsid w:val="00C536C1"/>
    <w:rsid w:val="00C65EBA"/>
    <w:rsid w:val="00C725B0"/>
    <w:rsid w:val="00C8363E"/>
    <w:rsid w:val="00C90CEE"/>
    <w:rsid w:val="00C93911"/>
    <w:rsid w:val="00CB51FF"/>
    <w:rsid w:val="00CB6247"/>
    <w:rsid w:val="00CB6C20"/>
    <w:rsid w:val="00CC1D18"/>
    <w:rsid w:val="00CC6CED"/>
    <w:rsid w:val="00CD0E54"/>
    <w:rsid w:val="00CD4CF4"/>
    <w:rsid w:val="00CE0960"/>
    <w:rsid w:val="00CE38CC"/>
    <w:rsid w:val="00CE5692"/>
    <w:rsid w:val="00CF0925"/>
    <w:rsid w:val="00CF3B61"/>
    <w:rsid w:val="00CF4120"/>
    <w:rsid w:val="00D00A75"/>
    <w:rsid w:val="00D116EA"/>
    <w:rsid w:val="00D13147"/>
    <w:rsid w:val="00D75582"/>
    <w:rsid w:val="00D84228"/>
    <w:rsid w:val="00D86E4D"/>
    <w:rsid w:val="00DA2D82"/>
    <w:rsid w:val="00DC6AA7"/>
    <w:rsid w:val="00DE79EB"/>
    <w:rsid w:val="00E070BA"/>
    <w:rsid w:val="00E1038D"/>
    <w:rsid w:val="00E21A44"/>
    <w:rsid w:val="00E42D99"/>
    <w:rsid w:val="00E46274"/>
    <w:rsid w:val="00E7106D"/>
    <w:rsid w:val="00E95E28"/>
    <w:rsid w:val="00E96F81"/>
    <w:rsid w:val="00EF3334"/>
    <w:rsid w:val="00F432FA"/>
    <w:rsid w:val="00F4476F"/>
    <w:rsid w:val="00F624F3"/>
    <w:rsid w:val="00F64DDD"/>
    <w:rsid w:val="00F71994"/>
    <w:rsid w:val="00F92DB5"/>
    <w:rsid w:val="00FA6204"/>
    <w:rsid w:val="00FC7B44"/>
    <w:rsid w:val="00FD56C4"/>
    <w:rsid w:val="01344B9B"/>
    <w:rsid w:val="01B00918"/>
    <w:rsid w:val="0243607C"/>
    <w:rsid w:val="02AE3CC9"/>
    <w:rsid w:val="03777DBA"/>
    <w:rsid w:val="03B60F2F"/>
    <w:rsid w:val="04406266"/>
    <w:rsid w:val="04614D92"/>
    <w:rsid w:val="04754121"/>
    <w:rsid w:val="047C6060"/>
    <w:rsid w:val="04F916EC"/>
    <w:rsid w:val="050D5589"/>
    <w:rsid w:val="05822B9F"/>
    <w:rsid w:val="05F40E24"/>
    <w:rsid w:val="06CC042B"/>
    <w:rsid w:val="06FC33C2"/>
    <w:rsid w:val="06FF3388"/>
    <w:rsid w:val="077D7E08"/>
    <w:rsid w:val="086B4F62"/>
    <w:rsid w:val="09117D63"/>
    <w:rsid w:val="096E1A9B"/>
    <w:rsid w:val="099D5DF0"/>
    <w:rsid w:val="09B06579"/>
    <w:rsid w:val="09D42AEC"/>
    <w:rsid w:val="09DD549D"/>
    <w:rsid w:val="0B8A2BAB"/>
    <w:rsid w:val="0BAA4278"/>
    <w:rsid w:val="0BBA766C"/>
    <w:rsid w:val="0BD87FF3"/>
    <w:rsid w:val="0C011C34"/>
    <w:rsid w:val="0C627D8B"/>
    <w:rsid w:val="0D3A104C"/>
    <w:rsid w:val="0D654A6D"/>
    <w:rsid w:val="0E23709C"/>
    <w:rsid w:val="0F337947"/>
    <w:rsid w:val="0F4A3146"/>
    <w:rsid w:val="0F677AC7"/>
    <w:rsid w:val="109B1D43"/>
    <w:rsid w:val="10AF7082"/>
    <w:rsid w:val="10F272B2"/>
    <w:rsid w:val="10FE6659"/>
    <w:rsid w:val="114A1089"/>
    <w:rsid w:val="115A5E2D"/>
    <w:rsid w:val="12394EEF"/>
    <w:rsid w:val="12AB3CF0"/>
    <w:rsid w:val="12EA748E"/>
    <w:rsid w:val="12F90970"/>
    <w:rsid w:val="133F3D8B"/>
    <w:rsid w:val="139150D8"/>
    <w:rsid w:val="13C05277"/>
    <w:rsid w:val="13D05B26"/>
    <w:rsid w:val="13EF47D3"/>
    <w:rsid w:val="141056EF"/>
    <w:rsid w:val="14AD50A1"/>
    <w:rsid w:val="14DD40E2"/>
    <w:rsid w:val="15ED036B"/>
    <w:rsid w:val="15F75A4A"/>
    <w:rsid w:val="163F30E3"/>
    <w:rsid w:val="1746588D"/>
    <w:rsid w:val="17950CDF"/>
    <w:rsid w:val="17F27E77"/>
    <w:rsid w:val="18B20C28"/>
    <w:rsid w:val="18F02D98"/>
    <w:rsid w:val="19103986"/>
    <w:rsid w:val="197E5FB1"/>
    <w:rsid w:val="19D85167"/>
    <w:rsid w:val="19E650A5"/>
    <w:rsid w:val="1A1B6371"/>
    <w:rsid w:val="1A2857FB"/>
    <w:rsid w:val="1A376816"/>
    <w:rsid w:val="1A4B2549"/>
    <w:rsid w:val="1A6921F1"/>
    <w:rsid w:val="1AB06EA6"/>
    <w:rsid w:val="1AC97A37"/>
    <w:rsid w:val="1ADC57D4"/>
    <w:rsid w:val="1AEC1932"/>
    <w:rsid w:val="1AFD4306"/>
    <w:rsid w:val="1B111E17"/>
    <w:rsid w:val="1B5A0877"/>
    <w:rsid w:val="1B6333B9"/>
    <w:rsid w:val="1B826FB1"/>
    <w:rsid w:val="1B9344FB"/>
    <w:rsid w:val="1B964321"/>
    <w:rsid w:val="1BE107F3"/>
    <w:rsid w:val="1C25139B"/>
    <w:rsid w:val="1CA71798"/>
    <w:rsid w:val="1D613A03"/>
    <w:rsid w:val="1DB44D88"/>
    <w:rsid w:val="1DF1084F"/>
    <w:rsid w:val="1E1E3E22"/>
    <w:rsid w:val="1E5C2D1E"/>
    <w:rsid w:val="1EB76D74"/>
    <w:rsid w:val="1EE763F9"/>
    <w:rsid w:val="1EF61470"/>
    <w:rsid w:val="1F7570F1"/>
    <w:rsid w:val="1FC5730A"/>
    <w:rsid w:val="205E6D0E"/>
    <w:rsid w:val="20791972"/>
    <w:rsid w:val="21131FBB"/>
    <w:rsid w:val="212C7ED9"/>
    <w:rsid w:val="212D3F19"/>
    <w:rsid w:val="21937FAE"/>
    <w:rsid w:val="21A07175"/>
    <w:rsid w:val="21CC638F"/>
    <w:rsid w:val="21D224FA"/>
    <w:rsid w:val="221A10B8"/>
    <w:rsid w:val="22225B55"/>
    <w:rsid w:val="230478ED"/>
    <w:rsid w:val="232F2AF8"/>
    <w:rsid w:val="23494A4A"/>
    <w:rsid w:val="238A40CC"/>
    <w:rsid w:val="23975482"/>
    <w:rsid w:val="24B25548"/>
    <w:rsid w:val="25E407DB"/>
    <w:rsid w:val="260F2BAA"/>
    <w:rsid w:val="262A3F3F"/>
    <w:rsid w:val="26C01F25"/>
    <w:rsid w:val="27136A9A"/>
    <w:rsid w:val="272C4192"/>
    <w:rsid w:val="27466779"/>
    <w:rsid w:val="274F5CA7"/>
    <w:rsid w:val="27DC6784"/>
    <w:rsid w:val="28432D42"/>
    <w:rsid w:val="28B0285C"/>
    <w:rsid w:val="28E82E9A"/>
    <w:rsid w:val="292C6849"/>
    <w:rsid w:val="29A32DFE"/>
    <w:rsid w:val="2A2011B2"/>
    <w:rsid w:val="2AFE20F5"/>
    <w:rsid w:val="2B0155B1"/>
    <w:rsid w:val="2B593849"/>
    <w:rsid w:val="2C6A1C45"/>
    <w:rsid w:val="2CCE69C7"/>
    <w:rsid w:val="2CEA4F5F"/>
    <w:rsid w:val="2D2F0303"/>
    <w:rsid w:val="2DC76047"/>
    <w:rsid w:val="2E0C29E0"/>
    <w:rsid w:val="2E1E40EC"/>
    <w:rsid w:val="2E2D470B"/>
    <w:rsid w:val="2E9F5ADD"/>
    <w:rsid w:val="2F0B4CDD"/>
    <w:rsid w:val="2F34245C"/>
    <w:rsid w:val="301912F8"/>
    <w:rsid w:val="303F6710"/>
    <w:rsid w:val="31063CEA"/>
    <w:rsid w:val="3192079C"/>
    <w:rsid w:val="32667455"/>
    <w:rsid w:val="32770549"/>
    <w:rsid w:val="338023FC"/>
    <w:rsid w:val="33B46E90"/>
    <w:rsid w:val="33FF122A"/>
    <w:rsid w:val="34065D20"/>
    <w:rsid w:val="34C7440B"/>
    <w:rsid w:val="355B1E37"/>
    <w:rsid w:val="357B50A2"/>
    <w:rsid w:val="362B7C8D"/>
    <w:rsid w:val="363D0712"/>
    <w:rsid w:val="36F459B8"/>
    <w:rsid w:val="371F6BDC"/>
    <w:rsid w:val="37207376"/>
    <w:rsid w:val="37642D93"/>
    <w:rsid w:val="37AE028A"/>
    <w:rsid w:val="37FD1029"/>
    <w:rsid w:val="38127D37"/>
    <w:rsid w:val="38690279"/>
    <w:rsid w:val="38901547"/>
    <w:rsid w:val="38902055"/>
    <w:rsid w:val="38DF225D"/>
    <w:rsid w:val="38EB0E9B"/>
    <w:rsid w:val="39792CE1"/>
    <w:rsid w:val="39900B5A"/>
    <w:rsid w:val="3A3A7820"/>
    <w:rsid w:val="3A3E2425"/>
    <w:rsid w:val="3AAC7AD5"/>
    <w:rsid w:val="3AC9307B"/>
    <w:rsid w:val="3BFB529F"/>
    <w:rsid w:val="3C7769FE"/>
    <w:rsid w:val="3C9B2A7E"/>
    <w:rsid w:val="3CDC75AB"/>
    <w:rsid w:val="3CE40450"/>
    <w:rsid w:val="3CF36EED"/>
    <w:rsid w:val="3DCD6FCB"/>
    <w:rsid w:val="3DF82FE3"/>
    <w:rsid w:val="3DFB149C"/>
    <w:rsid w:val="3E1A7BFA"/>
    <w:rsid w:val="3E3A211F"/>
    <w:rsid w:val="3E3E611B"/>
    <w:rsid w:val="3E473AF6"/>
    <w:rsid w:val="3EE345CB"/>
    <w:rsid w:val="3F8D333E"/>
    <w:rsid w:val="3FA206AB"/>
    <w:rsid w:val="402704AB"/>
    <w:rsid w:val="402A33AC"/>
    <w:rsid w:val="40D5064D"/>
    <w:rsid w:val="415F10BE"/>
    <w:rsid w:val="42591D69"/>
    <w:rsid w:val="42A506C1"/>
    <w:rsid w:val="435074DB"/>
    <w:rsid w:val="43977B34"/>
    <w:rsid w:val="445A6219"/>
    <w:rsid w:val="44D71839"/>
    <w:rsid w:val="455338AF"/>
    <w:rsid w:val="46095590"/>
    <w:rsid w:val="46901604"/>
    <w:rsid w:val="46C805A4"/>
    <w:rsid w:val="476E4917"/>
    <w:rsid w:val="478C0A33"/>
    <w:rsid w:val="47A070F3"/>
    <w:rsid w:val="47D16485"/>
    <w:rsid w:val="47D53024"/>
    <w:rsid w:val="48110193"/>
    <w:rsid w:val="48384815"/>
    <w:rsid w:val="485B543B"/>
    <w:rsid w:val="487C0839"/>
    <w:rsid w:val="49683ACE"/>
    <w:rsid w:val="49D819D4"/>
    <w:rsid w:val="49F53807"/>
    <w:rsid w:val="4A0220BF"/>
    <w:rsid w:val="4A2D7ADD"/>
    <w:rsid w:val="4A826FE5"/>
    <w:rsid w:val="4AD52F6C"/>
    <w:rsid w:val="4B47569A"/>
    <w:rsid w:val="4C0D733E"/>
    <w:rsid w:val="4CFD4A43"/>
    <w:rsid w:val="4DFA5D03"/>
    <w:rsid w:val="4E146CF4"/>
    <w:rsid w:val="4E1F3949"/>
    <w:rsid w:val="4EDC7E19"/>
    <w:rsid w:val="4F421ED3"/>
    <w:rsid w:val="4F6656C3"/>
    <w:rsid w:val="4F952BA4"/>
    <w:rsid w:val="50BD069D"/>
    <w:rsid w:val="512C76A7"/>
    <w:rsid w:val="51776D21"/>
    <w:rsid w:val="51986F63"/>
    <w:rsid w:val="52081DC7"/>
    <w:rsid w:val="520A132A"/>
    <w:rsid w:val="52CA2369"/>
    <w:rsid w:val="52EB409F"/>
    <w:rsid w:val="53273764"/>
    <w:rsid w:val="535B59C3"/>
    <w:rsid w:val="539440B7"/>
    <w:rsid w:val="53CD17DA"/>
    <w:rsid w:val="53E45AC1"/>
    <w:rsid w:val="53E94081"/>
    <w:rsid w:val="53F22EE5"/>
    <w:rsid w:val="540F339F"/>
    <w:rsid w:val="54135B2F"/>
    <w:rsid w:val="550530BD"/>
    <w:rsid w:val="554678AF"/>
    <w:rsid w:val="559866F1"/>
    <w:rsid w:val="55AF1B8E"/>
    <w:rsid w:val="55E123D3"/>
    <w:rsid w:val="56E25FA1"/>
    <w:rsid w:val="575A0B09"/>
    <w:rsid w:val="57B52E4C"/>
    <w:rsid w:val="58B43DF6"/>
    <w:rsid w:val="5916766C"/>
    <w:rsid w:val="59BA0463"/>
    <w:rsid w:val="5A8D3FD9"/>
    <w:rsid w:val="5AAD45DD"/>
    <w:rsid w:val="5B4C0B3E"/>
    <w:rsid w:val="5B714C3D"/>
    <w:rsid w:val="5E1A2AE5"/>
    <w:rsid w:val="5E2E7435"/>
    <w:rsid w:val="5E404B28"/>
    <w:rsid w:val="5EAD3096"/>
    <w:rsid w:val="5F066C6F"/>
    <w:rsid w:val="5F4F16AA"/>
    <w:rsid w:val="5FD770E8"/>
    <w:rsid w:val="5FEF77E2"/>
    <w:rsid w:val="60136373"/>
    <w:rsid w:val="60643B6D"/>
    <w:rsid w:val="60866455"/>
    <w:rsid w:val="60E421A8"/>
    <w:rsid w:val="610D7003"/>
    <w:rsid w:val="61685C71"/>
    <w:rsid w:val="616E542C"/>
    <w:rsid w:val="61D974B5"/>
    <w:rsid w:val="620E2B83"/>
    <w:rsid w:val="621F534D"/>
    <w:rsid w:val="631F16FD"/>
    <w:rsid w:val="63704777"/>
    <w:rsid w:val="63E469BB"/>
    <w:rsid w:val="641B3A2A"/>
    <w:rsid w:val="64767790"/>
    <w:rsid w:val="64CB33B0"/>
    <w:rsid w:val="64F7567C"/>
    <w:rsid w:val="65173116"/>
    <w:rsid w:val="65597780"/>
    <w:rsid w:val="656F5614"/>
    <w:rsid w:val="66BE3B1F"/>
    <w:rsid w:val="66D61F2D"/>
    <w:rsid w:val="66FA2DBC"/>
    <w:rsid w:val="6836216D"/>
    <w:rsid w:val="690412A1"/>
    <w:rsid w:val="69163B6A"/>
    <w:rsid w:val="691B2AAE"/>
    <w:rsid w:val="691D2092"/>
    <w:rsid w:val="69293769"/>
    <w:rsid w:val="69ED0779"/>
    <w:rsid w:val="6A9526CE"/>
    <w:rsid w:val="6AD70E25"/>
    <w:rsid w:val="6ADC0538"/>
    <w:rsid w:val="6B055F9B"/>
    <w:rsid w:val="6B53207B"/>
    <w:rsid w:val="6B67208E"/>
    <w:rsid w:val="6B6C2A13"/>
    <w:rsid w:val="6B913E7D"/>
    <w:rsid w:val="6B952607"/>
    <w:rsid w:val="6BBF03EB"/>
    <w:rsid w:val="6BDB591A"/>
    <w:rsid w:val="6C714375"/>
    <w:rsid w:val="6CB65770"/>
    <w:rsid w:val="6D124886"/>
    <w:rsid w:val="6D852C0B"/>
    <w:rsid w:val="6DA943B6"/>
    <w:rsid w:val="6DE113CD"/>
    <w:rsid w:val="6EEF5DAE"/>
    <w:rsid w:val="6FA91753"/>
    <w:rsid w:val="6FDC40B3"/>
    <w:rsid w:val="70747472"/>
    <w:rsid w:val="710B428E"/>
    <w:rsid w:val="71167DAF"/>
    <w:rsid w:val="71935ECD"/>
    <w:rsid w:val="724C6559"/>
    <w:rsid w:val="729B1F58"/>
    <w:rsid w:val="733B2ADE"/>
    <w:rsid w:val="736D67FE"/>
    <w:rsid w:val="738C4737"/>
    <w:rsid w:val="74513895"/>
    <w:rsid w:val="75861651"/>
    <w:rsid w:val="75BB2CA8"/>
    <w:rsid w:val="75EC0059"/>
    <w:rsid w:val="765744FD"/>
    <w:rsid w:val="76675B3E"/>
    <w:rsid w:val="766C1968"/>
    <w:rsid w:val="76CD6515"/>
    <w:rsid w:val="77C903DB"/>
    <w:rsid w:val="7817092A"/>
    <w:rsid w:val="786B5098"/>
    <w:rsid w:val="78CF3E2F"/>
    <w:rsid w:val="78E85EF2"/>
    <w:rsid w:val="78EA379A"/>
    <w:rsid w:val="792D1EA5"/>
    <w:rsid w:val="79515802"/>
    <w:rsid w:val="796F7A5C"/>
    <w:rsid w:val="797677B4"/>
    <w:rsid w:val="79AE6749"/>
    <w:rsid w:val="79E5612F"/>
    <w:rsid w:val="7AC94420"/>
    <w:rsid w:val="7B45106D"/>
    <w:rsid w:val="7D433557"/>
    <w:rsid w:val="7D580180"/>
    <w:rsid w:val="7D632EC1"/>
    <w:rsid w:val="7D636E01"/>
    <w:rsid w:val="7E2E4F29"/>
    <w:rsid w:val="7E383F82"/>
    <w:rsid w:val="7E5E4BAD"/>
    <w:rsid w:val="7F014822"/>
    <w:rsid w:val="7F16227D"/>
    <w:rsid w:val="7F532D8C"/>
    <w:rsid w:val="7F7F4D07"/>
    <w:rsid w:val="7FAC5525"/>
    <w:rsid w:val="7FCE0742"/>
    <w:rsid w:val="7FF420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topLinePunct/>
      <w:adjustRightInd w:val="0"/>
      <w:snapToGrid w:val="0"/>
      <w:ind w:firstLine="620" w:firstLineChars="200"/>
    </w:pPr>
    <w:rPr>
      <w:rFonts w:eastAsia="华文仿宋"/>
      <w:spacing w:val="15"/>
      <w:sz w:val="28"/>
      <w:szCs w:val="20"/>
    </w:rPr>
  </w:style>
  <w:style w:type="paragraph" w:styleId="3">
    <w:name w:val="Document Map"/>
    <w:basedOn w:val="1"/>
    <w:link w:val="22"/>
    <w:unhideWhenUsed/>
    <w:qFormat/>
    <w:uiPriority w:val="99"/>
    <w:rPr>
      <w:rFonts w:ascii="宋体"/>
      <w:sz w:val="18"/>
      <w:szCs w:val="18"/>
    </w:rPr>
  </w:style>
  <w:style w:type="paragraph" w:styleId="4">
    <w:name w:val="annotation text"/>
    <w:basedOn w:val="1"/>
    <w:link w:val="23"/>
    <w:qFormat/>
    <w:uiPriority w:val="0"/>
    <w:pPr>
      <w:jc w:val="left"/>
    </w:pPr>
    <w:rPr>
      <w:szCs w:val="24"/>
    </w:rPr>
  </w:style>
  <w:style w:type="paragraph" w:styleId="5">
    <w:name w:val="Body Text"/>
    <w:basedOn w:val="1"/>
    <w:qFormat/>
    <w:uiPriority w:val="0"/>
  </w:style>
  <w:style w:type="paragraph" w:styleId="6">
    <w:name w:val="Body Text Indent"/>
    <w:basedOn w:val="1"/>
    <w:next w:val="7"/>
    <w:qFormat/>
    <w:uiPriority w:val="0"/>
    <w:pPr>
      <w:spacing w:after="120"/>
      <w:ind w:left="420" w:leftChars="200"/>
    </w:pPr>
    <w:rPr>
      <w:szCs w:val="20"/>
    </w:rPr>
  </w:style>
  <w:style w:type="paragraph" w:customStyle="1" w:styleId="7">
    <w:name w:val="样式 正文文本缩进 + 行距: 1.5 倍行距"/>
    <w:basedOn w:val="1"/>
    <w:qFormat/>
    <w:uiPriority w:val="0"/>
    <w:pPr>
      <w:spacing w:after="120" w:line="360" w:lineRule="auto"/>
      <w:ind w:left="90" w:leftChars="32" w:firstLine="560" w:firstLineChars="200"/>
    </w:pPr>
    <w:rPr>
      <w:rFonts w:cs="宋体"/>
      <w:sz w:val="24"/>
    </w:rPr>
  </w:style>
  <w:style w:type="paragraph" w:styleId="8">
    <w:name w:val="Plain Text"/>
    <w:basedOn w:val="1"/>
    <w:qFormat/>
    <w:uiPriority w:val="0"/>
    <w:rPr>
      <w:rFonts w:ascii="宋体" w:hAnsi="Courier New"/>
    </w:rPr>
  </w:style>
  <w:style w:type="paragraph" w:styleId="9">
    <w:name w:val="Date"/>
    <w:basedOn w:val="1"/>
    <w:next w:val="1"/>
    <w:link w:val="27"/>
    <w:unhideWhenUsed/>
    <w:qFormat/>
    <w:uiPriority w:val="99"/>
    <w:pPr>
      <w:ind w:left="100" w:leftChars="2500"/>
    </w:pPr>
  </w:style>
  <w:style w:type="paragraph" w:styleId="10">
    <w:name w:val="Balloon Text"/>
    <w:basedOn w:val="1"/>
    <w:link w:val="24"/>
    <w:unhideWhenUsed/>
    <w:qFormat/>
    <w:uiPriority w:val="99"/>
    <w:rPr>
      <w:sz w:val="18"/>
      <w:szCs w:val="18"/>
    </w:rPr>
  </w:style>
  <w:style w:type="paragraph" w:styleId="11">
    <w:name w:val="footer"/>
    <w:basedOn w:val="1"/>
    <w:link w:val="26"/>
    <w:unhideWhenUsed/>
    <w:qFormat/>
    <w:uiPriority w:val="99"/>
    <w:pPr>
      <w:tabs>
        <w:tab w:val="center" w:pos="4153"/>
        <w:tab w:val="right" w:pos="8306"/>
      </w:tabs>
      <w:snapToGrid w:val="0"/>
      <w:jc w:val="left"/>
    </w:pPr>
    <w:rPr>
      <w:sz w:val="18"/>
      <w:szCs w:val="18"/>
    </w:rPr>
  </w:style>
  <w:style w:type="paragraph" w:styleId="12">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annotation subject"/>
    <w:basedOn w:val="4"/>
    <w:next w:val="4"/>
    <w:link w:val="28"/>
    <w:unhideWhenUsed/>
    <w:qFormat/>
    <w:uiPriority w:val="99"/>
    <w:rPr>
      <w:b/>
      <w:bCs/>
      <w:szCs w:val="21"/>
    </w:rPr>
  </w:style>
  <w:style w:type="paragraph" w:styleId="14">
    <w:name w:val="Body Text First Indent 2"/>
    <w:basedOn w:val="6"/>
    <w:next w:val="1"/>
    <w:qFormat/>
    <w:uiPriority w:val="0"/>
    <w:pPr>
      <w:ind w:firstLine="420"/>
    </w:pPr>
    <w:rPr>
      <w:sz w:val="24"/>
    </w:rPr>
  </w:style>
  <w:style w:type="table" w:styleId="16">
    <w:name w:val="Table Grid"/>
    <w:basedOn w:val="15"/>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semiHidden/>
    <w:qFormat/>
    <w:uiPriority w:val="0"/>
    <w:rPr>
      <w:sz w:val="21"/>
      <w:szCs w:val="21"/>
    </w:rPr>
  </w:style>
  <w:style w:type="paragraph" w:customStyle="1" w:styleId="19">
    <w:name w:val="Char1"/>
    <w:basedOn w:val="1"/>
    <w:qFormat/>
    <w:uiPriority w:val="0"/>
    <w:pPr>
      <w:snapToGrid w:val="0"/>
      <w:spacing w:line="360" w:lineRule="auto"/>
      <w:ind w:firstLine="200" w:firstLineChars="200"/>
    </w:pPr>
    <w:rPr>
      <w:rFonts w:eastAsia="仿宋_GB2312"/>
      <w:sz w:val="24"/>
    </w:rPr>
  </w:style>
  <w:style w:type="paragraph" w:customStyle="1" w:styleId="20">
    <w:name w:val="新格式表"/>
    <w:basedOn w:val="1"/>
    <w:qFormat/>
    <w:uiPriority w:val="0"/>
    <w:pPr>
      <w:adjustRightInd w:val="0"/>
      <w:snapToGrid w:val="0"/>
      <w:spacing w:line="0" w:lineRule="atLeast"/>
      <w:jc w:val="center"/>
    </w:pPr>
    <w:rPr>
      <w:color w:val="000000"/>
      <w:kern w:val="0"/>
    </w:rPr>
  </w:style>
  <w:style w:type="paragraph" w:customStyle="1" w:styleId="21">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2">
    <w:name w:val="文档结构图 Char"/>
    <w:basedOn w:val="17"/>
    <w:link w:val="3"/>
    <w:semiHidden/>
    <w:qFormat/>
    <w:uiPriority w:val="99"/>
    <w:rPr>
      <w:rFonts w:ascii="宋体" w:hAnsi="Times New Roman" w:eastAsia="宋体" w:cs="Times New Roman"/>
      <w:sz w:val="18"/>
      <w:szCs w:val="18"/>
    </w:rPr>
  </w:style>
  <w:style w:type="character" w:customStyle="1" w:styleId="23">
    <w:name w:val="批注文字 Char"/>
    <w:basedOn w:val="17"/>
    <w:link w:val="4"/>
    <w:semiHidden/>
    <w:qFormat/>
    <w:uiPriority w:val="0"/>
    <w:rPr>
      <w:rFonts w:ascii="Times New Roman" w:hAnsi="Times New Roman" w:eastAsia="宋体" w:cs="Times New Roman"/>
      <w:szCs w:val="24"/>
    </w:rPr>
  </w:style>
  <w:style w:type="character" w:customStyle="1" w:styleId="24">
    <w:name w:val="批注框文本 Char"/>
    <w:basedOn w:val="17"/>
    <w:link w:val="10"/>
    <w:semiHidden/>
    <w:qFormat/>
    <w:uiPriority w:val="99"/>
    <w:rPr>
      <w:rFonts w:ascii="Times New Roman" w:hAnsi="Times New Roman" w:eastAsia="宋体" w:cs="Times New Roman"/>
      <w:sz w:val="18"/>
      <w:szCs w:val="18"/>
    </w:rPr>
  </w:style>
  <w:style w:type="character" w:customStyle="1" w:styleId="25">
    <w:name w:val="页眉 Char"/>
    <w:basedOn w:val="17"/>
    <w:link w:val="12"/>
    <w:semiHidden/>
    <w:qFormat/>
    <w:uiPriority w:val="99"/>
    <w:rPr>
      <w:rFonts w:ascii="Times New Roman" w:hAnsi="Times New Roman" w:eastAsia="宋体" w:cs="Times New Roman"/>
      <w:sz w:val="18"/>
      <w:szCs w:val="18"/>
    </w:rPr>
  </w:style>
  <w:style w:type="character" w:customStyle="1" w:styleId="26">
    <w:name w:val="页脚 Char"/>
    <w:basedOn w:val="17"/>
    <w:link w:val="11"/>
    <w:semiHidden/>
    <w:qFormat/>
    <w:uiPriority w:val="99"/>
    <w:rPr>
      <w:rFonts w:ascii="Times New Roman" w:hAnsi="Times New Roman" w:eastAsia="宋体" w:cs="Times New Roman"/>
      <w:sz w:val="18"/>
      <w:szCs w:val="18"/>
    </w:rPr>
  </w:style>
  <w:style w:type="character" w:customStyle="1" w:styleId="27">
    <w:name w:val="日期 Char"/>
    <w:basedOn w:val="17"/>
    <w:link w:val="9"/>
    <w:semiHidden/>
    <w:qFormat/>
    <w:uiPriority w:val="99"/>
    <w:rPr>
      <w:rFonts w:ascii="Times New Roman" w:hAnsi="Times New Roman" w:eastAsia="宋体" w:cs="Times New Roman"/>
      <w:kern w:val="2"/>
      <w:sz w:val="21"/>
      <w:szCs w:val="21"/>
    </w:rPr>
  </w:style>
  <w:style w:type="character" w:customStyle="1" w:styleId="28">
    <w:name w:val="批注主题 Char"/>
    <w:basedOn w:val="23"/>
    <w:link w:val="13"/>
    <w:semiHidden/>
    <w:qFormat/>
    <w:uiPriority w:val="99"/>
    <w:rPr>
      <w:rFonts w:ascii="Times New Roman" w:hAnsi="Times New Roman" w:eastAsia="宋体" w:cs="Times New Roman"/>
      <w:b/>
      <w:bCs/>
      <w:kern w:val="2"/>
      <w:sz w:val="21"/>
      <w:szCs w:val="21"/>
    </w:rPr>
  </w:style>
  <w:style w:type="paragraph" w:customStyle="1" w:styleId="29">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color w:val="000000"/>
      <w:kern w:val="0"/>
      <w:sz w:val="24"/>
      <w:lang w:eastAsia="en-US"/>
    </w:rPr>
  </w:style>
  <w:style w:type="paragraph" w:customStyle="1" w:styleId="30">
    <w:name w:val="验收三级"/>
    <w:basedOn w:val="1"/>
    <w:qFormat/>
    <w:uiPriority w:val="0"/>
    <w:pPr>
      <w:spacing w:beforeLines="50" w:line="360" w:lineRule="auto"/>
    </w:pPr>
    <w:rPr>
      <w:b/>
      <w:bCs/>
      <w:sz w:val="28"/>
      <w:szCs w:val="28"/>
    </w:rPr>
  </w:style>
  <w:style w:type="paragraph" w:styleId="31">
    <w:name w:val="List Paragraph"/>
    <w:basedOn w:val="1"/>
    <w:unhideWhenUsed/>
    <w:qFormat/>
    <w:uiPriority w:val="99"/>
    <w:pPr>
      <w:ind w:firstLine="420" w:firstLineChars="200"/>
    </w:pPr>
  </w:style>
  <w:style w:type="character" w:customStyle="1" w:styleId="32">
    <w:name w:val="font01"/>
    <w:basedOn w:val="17"/>
    <w:qFormat/>
    <w:uiPriority w:val="0"/>
    <w:rPr>
      <w:rFonts w:hint="default" w:ascii="Arial Unicode MS" w:hAnsi="Arial Unicode MS" w:eastAsia="Arial Unicode MS" w:cs="Arial Unicode MS"/>
      <w:color w:val="000000"/>
      <w:sz w:val="18"/>
      <w:szCs w:val="18"/>
      <w:u w:val="none"/>
      <w:vertAlign w:val="superscript"/>
    </w:rPr>
  </w:style>
  <w:style w:type="paragraph" w:customStyle="1" w:styleId="33">
    <w:name w:val="注释"/>
    <w:basedOn w:val="1"/>
    <w:qFormat/>
    <w:uiPriority w:val="0"/>
    <w:pPr>
      <w:spacing w:line="360" w:lineRule="auto"/>
      <w:textAlignment w:val="baseline"/>
    </w:pPr>
    <w:rPr>
      <w:rFonts w:ascii="宋体"/>
      <w:snapToGrid w:val="0"/>
      <w:spacing w:val="4"/>
      <w:kern w:val="0"/>
      <w:szCs w:val="24"/>
    </w:rPr>
  </w:style>
  <w:style w:type="paragraph" w:customStyle="1" w:styleId="34">
    <w:name w:val="普通(网站)1"/>
    <w:basedOn w:val="1"/>
    <w:qFormat/>
    <w:uiPriority w:val="0"/>
    <w:pPr>
      <w:spacing w:beforeAutospacing="1" w:afterAutospacing="1"/>
    </w:pPr>
    <w:rPr>
      <w:rFonts w:ascii="宋体" w:hAnsi="宋体"/>
      <w:sz w:val="24"/>
      <w:szCs w:val="24"/>
    </w:rPr>
  </w:style>
  <w:style w:type="paragraph" w:customStyle="1" w:styleId="35">
    <w:name w:val="表格内容"/>
    <w:basedOn w:val="1"/>
    <w:qFormat/>
    <w:uiPriority w:val="0"/>
    <w:pPr>
      <w:overflowPunct w:val="0"/>
      <w:adjustRightInd w:val="0"/>
      <w:spacing w:before="40" w:after="60" w:line="200" w:lineRule="atLeast"/>
      <w:textAlignment w:val="baseline"/>
    </w:pPr>
    <w:rPr>
      <w:rFonts w:ascii="Arial" w:hAnsi="Arial" w:eastAsia="仿宋_GB2312"/>
      <w:kern w:val="0"/>
      <w:sz w:val="24"/>
      <w:szCs w:val="20"/>
    </w:rPr>
  </w:style>
  <w:style w:type="paragraph" w:customStyle="1" w:styleId="36">
    <w:name w:val="表样式2"/>
    <w:basedOn w:val="1"/>
    <w:qFormat/>
    <w:uiPriority w:val="0"/>
    <w:pPr>
      <w:adjustRightInd w:val="0"/>
      <w:snapToGrid w:val="0"/>
      <w:jc w:val="center"/>
    </w:pPr>
    <w:rPr>
      <w:rFonts w:hAnsi="宋体"/>
    </w:rPr>
  </w:style>
  <w:style w:type="paragraph" w:customStyle="1" w:styleId="37">
    <w:name w:val="陈光的正文"/>
    <w:basedOn w:val="1"/>
    <w:qFormat/>
    <w:uiPriority w:val="0"/>
    <w:pPr>
      <w:adjustRightInd w:val="0"/>
      <w:snapToGrid w:val="0"/>
      <w:spacing w:before="31" w:beforeLines="10" w:after="31" w:afterLines="10" w:line="360" w:lineRule="auto"/>
      <w:ind w:firstLine="560" w:firstLineChars="200"/>
    </w:pPr>
    <w:rPr>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0A19EF-C953-47F4-A37E-6B7C4918B2E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716</Words>
  <Characters>4087</Characters>
  <Lines>34</Lines>
  <Paragraphs>9</Paragraphs>
  <TotalTime>51</TotalTime>
  <ScaleCrop>false</ScaleCrop>
  <LinksUpToDate>false</LinksUpToDate>
  <CharactersWithSpaces>4794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2017-11-14T07:57:00Z</dcterms:created>
  <dc:creator>lenovo</dc:creator>
  <cp:lastModifiedBy>刘林</cp:lastModifiedBy>
  <cp:lastPrinted>2018-06-07T00:35:00Z</cp:lastPrinted>
  <dcterms:modified xsi:type="dcterms:W3CDTF">2020-04-24T11:27:27Z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